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37" w:type="dxa"/>
        <w:jc w:val="center"/>
        <w:tblCellSpacing w:w="0" w:type="dxa"/>
        <w:tblInd w:w="13" w:type="dxa"/>
        <w:tblCellMar>
          <w:left w:w="0" w:type="dxa"/>
          <w:right w:w="0" w:type="dxa"/>
        </w:tblCellMar>
        <w:tblLook w:val="04A0"/>
      </w:tblPr>
      <w:tblGrid>
        <w:gridCol w:w="9737"/>
      </w:tblGrid>
      <w:tr w:rsidR="00FD4E20" w:rsidRPr="00CD4079" w:rsidTr="001B154A">
        <w:trPr>
          <w:trHeight w:val="600"/>
          <w:tblCellSpacing w:w="0" w:type="dxa"/>
          <w:jc w:val="center"/>
        </w:trPr>
        <w:tc>
          <w:tcPr>
            <w:tcW w:w="9737" w:type="dxa"/>
            <w:vAlign w:val="center"/>
            <w:hideMark/>
          </w:tcPr>
          <w:p w:rsidR="00FD4E20" w:rsidRPr="006824F3" w:rsidRDefault="00FD4E20" w:rsidP="001B154A">
            <w:pPr>
              <w:rPr>
                <w:rFonts w:ascii="仿宋_GB2312" w:eastAsia="仿宋_GB2312"/>
                <w:sz w:val="32"/>
                <w:szCs w:val="32"/>
              </w:rPr>
            </w:pPr>
            <w:r w:rsidRPr="006824F3">
              <w:rPr>
                <w:rFonts w:ascii="仿宋_GB2312" w:eastAsia="仿宋_GB2312" w:hint="eastAsia"/>
                <w:sz w:val="32"/>
                <w:szCs w:val="32"/>
              </w:rPr>
              <w:t>附件：</w:t>
            </w:r>
          </w:p>
          <w:tbl>
            <w:tblPr>
              <w:tblW w:w="5000" w:type="pct"/>
              <w:jc w:val="center"/>
              <w:tblCellSpacing w:w="0" w:type="dxa"/>
              <w:tblCellMar>
                <w:left w:w="0" w:type="dxa"/>
                <w:right w:w="0" w:type="dxa"/>
              </w:tblCellMar>
              <w:tblLook w:val="04A0"/>
            </w:tblPr>
            <w:tblGrid>
              <w:gridCol w:w="9737"/>
            </w:tblGrid>
            <w:tr w:rsidR="00FD4E20" w:rsidRPr="00CD4079" w:rsidTr="001B154A">
              <w:trPr>
                <w:trHeight w:val="1350"/>
                <w:tblCellSpacing w:w="0" w:type="dxa"/>
                <w:jc w:val="center"/>
              </w:trPr>
              <w:tc>
                <w:tcPr>
                  <w:tcW w:w="0" w:type="auto"/>
                  <w:vAlign w:val="center"/>
                  <w:hideMark/>
                </w:tcPr>
                <w:p w:rsidR="00FD4E20" w:rsidRPr="00CD4079" w:rsidRDefault="00FD4E20" w:rsidP="001B154A">
                  <w:pPr>
                    <w:widowControl/>
                    <w:spacing w:line="408" w:lineRule="auto"/>
                    <w:jc w:val="center"/>
                    <w:rPr>
                      <w:rFonts w:ascii="宋体" w:eastAsia="宋体" w:hAnsi="宋体" w:cs="宋体"/>
                      <w:b/>
                      <w:bCs/>
                      <w:color w:val="FF0000"/>
                      <w:kern w:val="0"/>
                      <w:sz w:val="63"/>
                      <w:szCs w:val="63"/>
                    </w:rPr>
                  </w:pPr>
                  <w:r w:rsidRPr="00CD4079">
                    <w:rPr>
                      <w:rFonts w:ascii="宋体" w:eastAsia="宋体" w:hAnsi="宋体" w:cs="宋体" w:hint="eastAsia"/>
                      <w:b/>
                      <w:bCs/>
                      <w:color w:val="FF0000"/>
                      <w:kern w:val="0"/>
                      <w:sz w:val="63"/>
                      <w:szCs w:val="63"/>
                    </w:rPr>
                    <w:t>国家工商行政管理总局令</w:t>
                  </w:r>
                </w:p>
              </w:tc>
            </w:tr>
          </w:tbl>
          <w:p w:rsidR="00FD4E20" w:rsidRPr="00CD4079" w:rsidRDefault="00FD4E20" w:rsidP="001B154A">
            <w:pPr>
              <w:widowControl/>
              <w:spacing w:line="600" w:lineRule="atLeast"/>
              <w:jc w:val="center"/>
              <w:rPr>
                <w:rFonts w:ascii="宋体" w:eastAsia="宋体" w:hAnsi="宋体" w:cs="宋体"/>
                <w:b/>
                <w:bCs/>
                <w:color w:val="FF0000"/>
                <w:kern w:val="0"/>
                <w:sz w:val="63"/>
                <w:szCs w:val="63"/>
              </w:rPr>
            </w:pPr>
          </w:p>
        </w:tc>
      </w:tr>
      <w:tr w:rsidR="00FD4E20" w:rsidRPr="00CD4079" w:rsidTr="001B154A">
        <w:trPr>
          <w:trHeight w:val="375"/>
          <w:tblCellSpacing w:w="0" w:type="dxa"/>
          <w:jc w:val="center"/>
        </w:trPr>
        <w:tc>
          <w:tcPr>
            <w:tcW w:w="9737" w:type="dxa"/>
            <w:vAlign w:val="center"/>
            <w:hideMark/>
          </w:tcPr>
          <w:p w:rsidR="00FD4E20" w:rsidRPr="00CD4079" w:rsidRDefault="00FD4E20" w:rsidP="001B154A">
            <w:pPr>
              <w:widowControl/>
              <w:spacing w:line="408" w:lineRule="auto"/>
              <w:jc w:val="left"/>
              <w:rPr>
                <w:rFonts w:ascii="宋体" w:eastAsia="宋体" w:hAnsi="宋体" w:cs="宋体"/>
                <w:color w:val="000000"/>
                <w:kern w:val="0"/>
                <w:sz w:val="18"/>
                <w:szCs w:val="18"/>
              </w:rPr>
            </w:pPr>
          </w:p>
        </w:tc>
      </w:tr>
      <w:tr w:rsidR="00FD4E20" w:rsidRPr="00CD4079" w:rsidTr="001B154A">
        <w:trPr>
          <w:tblCellSpacing w:w="0" w:type="dxa"/>
          <w:jc w:val="center"/>
        </w:trPr>
        <w:tc>
          <w:tcPr>
            <w:tcW w:w="9737" w:type="dxa"/>
            <w:vAlign w:val="center"/>
            <w:hideMark/>
          </w:tcPr>
          <w:p w:rsidR="00FD4E20" w:rsidRPr="00CD4079" w:rsidRDefault="00FD4E20" w:rsidP="001B154A">
            <w:pPr>
              <w:widowControl/>
              <w:spacing w:line="408" w:lineRule="auto"/>
              <w:jc w:val="center"/>
              <w:rPr>
                <w:rFonts w:ascii="宋体" w:eastAsia="宋体" w:hAnsi="宋体" w:cs="宋体"/>
                <w:b/>
                <w:bCs/>
                <w:color w:val="000000"/>
                <w:kern w:val="0"/>
                <w:sz w:val="30"/>
                <w:szCs w:val="30"/>
              </w:rPr>
            </w:pPr>
            <w:r w:rsidRPr="00CD4079">
              <w:rPr>
                <w:rFonts w:ascii="宋体" w:eastAsia="宋体" w:hAnsi="宋体" w:cs="宋体"/>
                <w:b/>
                <w:bCs/>
                <w:color w:val="000000"/>
                <w:kern w:val="0"/>
                <w:sz w:val="30"/>
                <w:szCs w:val="30"/>
              </w:rPr>
              <w:t>第87号</w:t>
            </w:r>
          </w:p>
        </w:tc>
      </w:tr>
      <w:tr w:rsidR="00FD4E20" w:rsidRPr="00CD4079" w:rsidTr="001B154A">
        <w:trPr>
          <w:tblCellSpacing w:w="0" w:type="dxa"/>
          <w:jc w:val="center"/>
        </w:trPr>
        <w:tc>
          <w:tcPr>
            <w:tcW w:w="9737" w:type="dxa"/>
            <w:vAlign w:val="center"/>
            <w:hideMark/>
          </w:tcPr>
          <w:p w:rsidR="00FD4E20" w:rsidRPr="00CD4079" w:rsidRDefault="00FD4E20" w:rsidP="001B154A">
            <w:pPr>
              <w:widowControl/>
              <w:spacing w:line="408" w:lineRule="auto"/>
              <w:jc w:val="left"/>
              <w:rPr>
                <w:rFonts w:ascii="宋体" w:eastAsia="宋体" w:hAnsi="宋体" w:cs="宋体"/>
                <w:color w:val="000000"/>
                <w:kern w:val="0"/>
                <w:sz w:val="18"/>
                <w:szCs w:val="18"/>
              </w:rPr>
            </w:pPr>
            <w:r w:rsidRPr="00CD4079">
              <w:rPr>
                <w:rFonts w:ascii="宋体" w:eastAsia="宋体" w:hAnsi="宋体" w:cs="宋体"/>
                <w:color w:val="000000"/>
                <w:kern w:val="0"/>
                <w:sz w:val="18"/>
                <w:szCs w:val="18"/>
              </w:rPr>
              <w:t> </w:t>
            </w:r>
          </w:p>
        </w:tc>
      </w:tr>
      <w:tr w:rsidR="00FD4E20" w:rsidRPr="00CD4079" w:rsidTr="001B154A">
        <w:trPr>
          <w:trHeight w:val="150"/>
          <w:tblCellSpacing w:w="0" w:type="dxa"/>
          <w:jc w:val="center"/>
        </w:trPr>
        <w:tc>
          <w:tcPr>
            <w:tcW w:w="9737" w:type="dxa"/>
            <w:vAlign w:val="center"/>
            <w:hideMark/>
          </w:tcPr>
          <w:p w:rsidR="00FD4E20" w:rsidRPr="00CD4079" w:rsidRDefault="00FD4E20" w:rsidP="001B154A">
            <w:pPr>
              <w:widowControl/>
              <w:spacing w:line="150" w:lineRule="atLeast"/>
              <w:jc w:val="left"/>
              <w:rPr>
                <w:rFonts w:ascii="宋体" w:eastAsia="宋体" w:hAnsi="宋体" w:cs="宋体"/>
                <w:color w:val="000000"/>
                <w:kern w:val="0"/>
                <w:sz w:val="18"/>
                <w:szCs w:val="18"/>
              </w:rPr>
            </w:pPr>
            <w:r w:rsidRPr="00CD4079">
              <w:rPr>
                <w:rFonts w:ascii="宋体" w:eastAsia="宋体" w:hAnsi="宋体" w:cs="宋体"/>
                <w:color w:val="000000"/>
                <w:kern w:val="0"/>
                <w:sz w:val="18"/>
                <w:szCs w:val="18"/>
              </w:rPr>
              <w:t> </w:t>
            </w:r>
          </w:p>
        </w:tc>
      </w:tr>
      <w:tr w:rsidR="00FD4E20" w:rsidRPr="00CD4079" w:rsidTr="001B154A">
        <w:trPr>
          <w:trHeight w:val="2460"/>
          <w:tblCellSpacing w:w="0" w:type="dxa"/>
          <w:jc w:val="center"/>
        </w:trPr>
        <w:tc>
          <w:tcPr>
            <w:tcW w:w="9737" w:type="dxa"/>
            <w:vAlign w:val="center"/>
            <w:hideMark/>
          </w:tcPr>
          <w:p w:rsidR="00FD4E20" w:rsidRPr="00CD4079" w:rsidRDefault="00FD4E20" w:rsidP="001B154A">
            <w:pPr>
              <w:widowControl/>
              <w:spacing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《互联网广告管理暂行办法》已经国家工商行政管理总局局务会议审议通过，现予公布，自2016年9月1日起施行。  </w:t>
            </w:r>
          </w:p>
          <w:p w:rsidR="00FD4E20" w:rsidRPr="00CD4079" w:rsidRDefault="00FD4E20" w:rsidP="001B154A">
            <w:pPr>
              <w:widowControl/>
              <w:spacing w:before="240" w:after="240"/>
              <w:jc w:val="righ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局长 张茅 </w:t>
            </w:r>
          </w:p>
          <w:p w:rsidR="00FD4E20" w:rsidRPr="00CD4079" w:rsidRDefault="00FD4E20" w:rsidP="001B154A">
            <w:pPr>
              <w:widowControl/>
              <w:spacing w:before="240" w:after="240"/>
              <w:jc w:val="righ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2016年7月4日 </w:t>
            </w:r>
          </w:p>
          <w:p w:rsidR="00FD4E20" w:rsidRPr="00CD4079" w:rsidRDefault="00FD4E20" w:rsidP="001B154A">
            <w:pPr>
              <w:widowControl/>
              <w:spacing w:before="240" w:after="240"/>
              <w:jc w:val="center"/>
              <w:rPr>
                <w:rFonts w:ascii="宋体" w:eastAsia="宋体" w:hAnsi="宋体" w:cs="宋体"/>
                <w:color w:val="000000"/>
                <w:kern w:val="0"/>
                <w:szCs w:val="21"/>
              </w:rPr>
            </w:pPr>
            <w:r w:rsidRPr="00CD4079">
              <w:rPr>
                <w:rFonts w:ascii="宋体" w:eastAsia="宋体" w:hAnsi="宋体" w:cs="宋体" w:hint="eastAsia"/>
                <w:b/>
                <w:bCs/>
                <w:color w:val="000000"/>
                <w:kern w:val="0"/>
                <w:sz w:val="36"/>
              </w:rPr>
              <w:t>互联网广告管理暂行办法</w:t>
            </w:r>
            <w:r w:rsidRPr="00CD4079">
              <w:rPr>
                <w:rFonts w:ascii="宋体" w:eastAsia="宋体" w:hAnsi="宋体" w:cs="宋体" w:hint="eastAsia"/>
                <w:color w:val="000000"/>
                <w:kern w:val="0"/>
                <w:sz w:val="24"/>
                <w:szCs w:val="24"/>
              </w:rPr>
              <w:t xml:space="preserve"> </w:t>
            </w:r>
          </w:p>
          <w:p w:rsidR="00FD4E20" w:rsidRPr="00CD4079" w:rsidRDefault="00FD4E20" w:rsidP="001B154A">
            <w:pPr>
              <w:widowControl/>
              <w:spacing w:before="240" w:after="240"/>
              <w:jc w:val="center"/>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（2016年7月4日国家工商行政管理总局令第87号公布）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第一条  为了规范互联网广告活动，保护消费者的合法权益，促进互联网广告业的健康发展，维护公平竞争的市场经济秩序，根据《中华人民共和国广告法》（以下简称广告法）等法律、行政法规，制定本办法。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第二条  利用互联网从事广告活动，适用广告法和本办法的规定。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第三条  本办法所称互联网广告，是指通过网站、网页、互联网应用程序等互联网媒介，以文字、图片、音频、视频或者其他形式,直接或者间接地推销商品或者服务的商业广告。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前款所称互联网广告包括：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（一）推销商品或者服务的含有链接的文字、图片或者视频等形式的广告；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（二）推销商品或者服务的电子邮件广告；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（三）推销商品或者服务的付费搜索广告；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（四）推销商品或者服务的商业性展示中的广告，法律、法规和规章规定经营者应当向消费者提供的信息的展示依照其规定；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（五）其他通过互联网媒介推销商品或者服务的商业广告。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第四条  鼓励和支持广告行业组织依照法律、法规、规章和章程的规定，制定行业规范，</w:t>
            </w:r>
            <w:r w:rsidRPr="00CD4079">
              <w:rPr>
                <w:rFonts w:ascii="宋体" w:eastAsia="宋体" w:hAnsi="宋体" w:cs="宋体" w:hint="eastAsia"/>
                <w:color w:val="000000"/>
                <w:kern w:val="0"/>
                <w:sz w:val="24"/>
                <w:szCs w:val="24"/>
              </w:rPr>
              <w:lastRenderedPageBreak/>
              <w:t xml:space="preserve">加强行业自律，促进行业发展，引导会员依法从事互联网广告活动，推动互联网广告行业诚信建设。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第五条  法律、行政法规规定禁止生产、销售的商品或者提供的服务，以及禁止发布广告的商品或者服务，任何单位或者个人不得在互联网上设计、制作、代理、发布广告。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禁止利用互联网发布处方药和烟草的广告。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第六条  医疗、药品、特殊医学用途配方食品、医疗器械、农药、兽药、保健食品广告等法律、行政法规规定须经广告审查机关进行审查的特殊商品或者服务的广告，未经审查，不得发布。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第七条  互联网广告应当具有可识别性，显著标明“广告”，使消费者能够辨明其为广告。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付费搜索广告应当与自然搜索结果明显区分。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第八条  利用互联网发布、发送广告，不得影响用户正常使用网络。在互联网页面以弹出等形式发布的广告，应当显著标明关闭标志，确保一键关闭。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不得以欺骗方式诱使用户点击广告内容。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未经允许，不得在用户发送的电子邮件中附加广告或者广告链接。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第九条  互联网广告主、广告经营者、广告发布者之间在互联网广告活动中应当依法订立书面合同。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第十条  互联网广告主应当对广告内容的真实性负责。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广告主发布互联网广告需具备的主体身份、行政许可、引证内容等证明文件，应当真实、合法、有效。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广告主可以通过自设网站或者拥有合法使用权的互联网媒介自行发布广告，也可以委托互联网广告经营者、广告发布者发布广告。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互联网广告主委托互联网广告经营者、广告发布者发布广告，修改广告内容时，应当以书面形式或者其他可以被确认的方式通知为其提供服务的互联网广告经营者、广告发布者。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第十一条  为广告主或者广告经营者推送或者展示互联网广告，并能够核对广告内容、决定广告发布的自然人、法人或者其他组织，是互联网广告的发布者。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第十二条  互联网广告发布者、广告经营者应当按照国家有关规定建立、健全互联网广告业务的承接登记、审核、档案管理制度；审核查验并登记广告主的名称、地址和有效联系方式等主体身份信息，建立登记档案并定期核实更新。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互联网广告发布者、广告经营者应当查验有关证明文件，核对广告内容，对内容不符或者证明文件不全的广告，不得设计、制作、代理、发布。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lastRenderedPageBreak/>
              <w:t xml:space="preserve">　　互联网广告发布者、广告经营者应当配备熟悉广告法规的广告审查人员；有条件的还应当设立专门机构，负责互联网广告的审查。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第十三条  互联网广告可以以程序化购买广告的方式，通过广告需求方平台、媒介方平台以及广告信息交换平台等所提供的信息整合、数据分析等服务进行有针对性地发布。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通过程序化购买广告方式发布的互联网广告，广告需求方平台经营者应当清晰标明广告来源。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第十四条  广告需求方平台是指整合广告主需求，为广告主提供发布服务的广告主服务平台。广告需求方平台的经营者是互联网广告发布者、广告经营者。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媒介方平台是指整合媒介方资源，为媒介所有者或者管理者提供程序化的广告分配和筛选的媒介服务平台。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广告信息交换平台是提供数据交换、分析匹配、交易结算等服务的数据处理平台。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第十五条  广告需求方平台经营者、媒介方平台经营者、广告信息交换平台经营者以及媒介方平台的成员，在订立互联网广告合同时，应当查验合同相对方的主体身份证明文件、真实名称、地址和有效联系方式等信息，建立登记档案并定期核实更新。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媒介方平台经营者、广告信息交换平台经营者以及媒介方平台成员，对其明知或者应知的违法广告，应当采取删除、屏蔽、断开链接等技术措施和管理措施，予以制止。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第十六条  互联网广告活动中不得有下列行为：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（一）提供或者利用应用程序、硬件等对他人正当经营的广告采取拦截、过滤、覆盖、快进等限制措施；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（二）利用网络通路、网络设备、应用程序等破坏正常广告数据传输，篡改或者遮挡他人正当经营的广告，擅自加载广告；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（三）利用虚假的统计数据、传播效果或者互联网媒介价值，诱导错误报价，谋取不正当利益或者损害他人利益。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第十七条  未参与互联网广告经营活动，仅为互联网广告提供信息服务的互联网信息服务提供者，对其明知或者应</w:t>
            </w:r>
            <w:proofErr w:type="gramStart"/>
            <w:r w:rsidRPr="00CD4079">
              <w:rPr>
                <w:rFonts w:ascii="宋体" w:eastAsia="宋体" w:hAnsi="宋体" w:cs="宋体" w:hint="eastAsia"/>
                <w:color w:val="000000"/>
                <w:kern w:val="0"/>
                <w:sz w:val="24"/>
                <w:szCs w:val="24"/>
              </w:rPr>
              <w:t>知利用</w:t>
            </w:r>
            <w:proofErr w:type="gramEnd"/>
            <w:r w:rsidRPr="00CD4079">
              <w:rPr>
                <w:rFonts w:ascii="宋体" w:eastAsia="宋体" w:hAnsi="宋体" w:cs="宋体" w:hint="eastAsia"/>
                <w:color w:val="000000"/>
                <w:kern w:val="0"/>
                <w:sz w:val="24"/>
                <w:szCs w:val="24"/>
              </w:rPr>
              <w:t xml:space="preserve">其信息服务发布违法广告的，应当予以制止。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第十八条  对互联网广告违法行为实施行政处罚，由广告发布者所在地工商行政管理部门管辖。广告发布者所在地工商行政管理部门管辖异地广告主、广告经营者有困难的，可以将广告主、广告经营者的违法情况移交广告主、广告经营者所在地工商行政管理部门处理。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广告主所在地、广告经营者所在地工商行政管理部门先行发现违法线索或者收到投诉、举报的，也可以进行管辖。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对广告主自行发布的违法广告实施行政处罚，由广告主所在地工商行政管理部门管辖。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lastRenderedPageBreak/>
              <w:t xml:space="preserve">　　第十九条  工商行政管理部门在查处违法广告时，可以行使下列职权：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（一）对涉嫌从事违法广告活动的场所实施现场检查；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（二）询问涉嫌违法的有关当事人，对有关单位或者个人进行调查；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（三）要求涉嫌违法当事人限期提供有关证明文件；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（四）查阅、复制与涉嫌违法广告有关的合同、票据、账簿、广告作品和互联网广告后台数据，采用截屏、页面另存、拍照等方法确认互联网广告内容；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（五）责令暂停发布可能造成严重后果的涉嫌违法广告。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工商行政管理部门依法行使前款规定的职权时，当事人应当协助、配合，不得拒绝、阻挠或者隐瞒真实情况。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第二十条  工商行政管理部门对互联网广告的技术监测记录资料，可以作为对违法的互联网广告实施行政处罚或者采取行政措施的电子数据证据。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第二十一条  违反本办法第五条第一款规定，利用互联网广告推销禁止生产、销售的产品或者提供的服务，或者禁止发布广告的商品或者服务的，依照广告法第五十七条第五项的规定予以处罚；违反第二款的规定，利用互联网发布处方药、烟草广告的，依照广告法第五十七条第二项、第四项的规定予以处罚。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第二十二条  违反本办法第六条规定，未经审查发布广告的，依照广告法第五十八条第一款第十四项的规定予以处罚。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第二十三条  互联网广告违反本办法第七条规定，不具有可识别性的，依照广告法第五十九条第三款的规定予以处罚。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第二十四条  违反本办法第八条第一款规定，利用互联网发布广告，未显著标明关闭标志并确保一键关闭的，依照广告法第六十三条第二款的规定进行处罚；违反第二款、第三款规定，以欺骗方式诱使用户点击广告内容的，或者未经允许，在用户发送的电子邮件中附加广告或者广告链接的，责令改正，处一万元以上三万元以下的罚款。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第二十五条  违反本办法第十二条第一款、第二款规定，互联网广告发布者、广告经营者未按照国家有关规定建立、健全广告业务管理制度的，或者未对广告内容进行核对的，依照广告法第六十一条第一款的规定予以处罚。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第二十六条  有下列情形之一的，责令改正，处一万元以上三万元以下的罚款：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（一）广告需求方平台经营者违反本办法第十三条第二款规定，通过程序化购买方式发布的广告未标明来源的；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（二）媒介方平台经营者、广告信息交换平台经营者以及媒介方平台成员，违反本办法第十五条第一款、第二款规定，未履行相关义务的。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第二十七条  违反本办法第十七条规定，互联网信息服务提供者明知或者应知互联网广</w:t>
            </w:r>
            <w:r w:rsidRPr="00CD4079">
              <w:rPr>
                <w:rFonts w:ascii="宋体" w:eastAsia="宋体" w:hAnsi="宋体" w:cs="宋体" w:hint="eastAsia"/>
                <w:color w:val="000000"/>
                <w:kern w:val="0"/>
                <w:sz w:val="24"/>
                <w:szCs w:val="24"/>
              </w:rPr>
              <w:lastRenderedPageBreak/>
              <w:t xml:space="preserve">告活动违法不予制止的，依照广告法第六十四条规定予以处罚。 </w:t>
            </w:r>
          </w:p>
          <w:p w:rsidR="00FD4E20" w:rsidRPr="00CD4079" w:rsidRDefault="00FD4E20" w:rsidP="001B154A">
            <w:pPr>
              <w:widowControl/>
              <w:spacing w:before="240" w:after="240"/>
              <w:jc w:val="left"/>
              <w:rPr>
                <w:rFonts w:ascii="宋体" w:eastAsia="宋体" w:hAnsi="宋体" w:cs="宋体"/>
                <w:color w:val="000000"/>
                <w:kern w:val="0"/>
                <w:szCs w:val="21"/>
              </w:rPr>
            </w:pPr>
            <w:r w:rsidRPr="00CD4079">
              <w:rPr>
                <w:rFonts w:ascii="宋体" w:eastAsia="宋体" w:hAnsi="宋体" w:cs="宋体" w:hint="eastAsia"/>
                <w:color w:val="000000"/>
                <w:kern w:val="0"/>
                <w:sz w:val="24"/>
                <w:szCs w:val="24"/>
              </w:rPr>
              <w:t xml:space="preserve">　　第二十八条  工商行政管理部门依照广告法和本办法规定所做出的行政处罚决定，应当通过企业信用信息公示系统依法向社会公示。 </w:t>
            </w:r>
          </w:p>
          <w:p w:rsidR="00FD4E20" w:rsidRDefault="00FD4E20" w:rsidP="001B154A">
            <w:pPr>
              <w:widowControl/>
              <w:spacing w:before="240"/>
              <w:ind w:firstLine="465"/>
              <w:jc w:val="left"/>
              <w:rPr>
                <w:rFonts w:ascii="宋体" w:eastAsia="宋体" w:hAnsi="宋体" w:cs="宋体"/>
                <w:color w:val="000000"/>
                <w:kern w:val="0"/>
                <w:sz w:val="24"/>
                <w:szCs w:val="24"/>
              </w:rPr>
            </w:pPr>
            <w:r w:rsidRPr="00CD4079">
              <w:rPr>
                <w:rFonts w:ascii="宋体" w:eastAsia="宋体" w:hAnsi="宋体" w:cs="宋体" w:hint="eastAsia"/>
                <w:color w:val="000000"/>
                <w:kern w:val="0"/>
                <w:sz w:val="24"/>
                <w:szCs w:val="24"/>
              </w:rPr>
              <w:t>第二十九条  本办法自2016年9月1日起施行。</w:t>
            </w:r>
          </w:p>
          <w:p w:rsidR="00FD4E20" w:rsidRDefault="00FD4E20" w:rsidP="001B154A">
            <w:pPr>
              <w:widowControl/>
              <w:spacing w:before="240"/>
              <w:ind w:firstLine="465"/>
              <w:jc w:val="left"/>
              <w:rPr>
                <w:rFonts w:ascii="宋体" w:eastAsia="宋体" w:hAnsi="宋体" w:cs="宋体"/>
                <w:color w:val="000000"/>
                <w:kern w:val="0"/>
                <w:sz w:val="24"/>
                <w:szCs w:val="24"/>
              </w:rPr>
            </w:pPr>
          </w:p>
          <w:p w:rsidR="00FD4E20" w:rsidRDefault="00FD4E20" w:rsidP="001B154A">
            <w:pPr>
              <w:widowControl/>
              <w:spacing w:before="240"/>
              <w:ind w:firstLine="465"/>
              <w:jc w:val="left"/>
              <w:rPr>
                <w:rFonts w:ascii="宋体" w:eastAsia="宋体" w:hAnsi="宋体" w:cs="宋体"/>
                <w:color w:val="000000"/>
                <w:kern w:val="0"/>
                <w:sz w:val="24"/>
                <w:szCs w:val="24"/>
              </w:rPr>
            </w:pPr>
          </w:p>
          <w:p w:rsidR="00FD4E20" w:rsidRDefault="00FD4E20" w:rsidP="001B154A">
            <w:pPr>
              <w:widowControl/>
              <w:spacing w:before="240"/>
              <w:ind w:firstLine="465"/>
              <w:jc w:val="left"/>
              <w:rPr>
                <w:rFonts w:ascii="宋体" w:eastAsia="宋体" w:hAnsi="宋体" w:cs="宋体"/>
                <w:color w:val="000000"/>
                <w:kern w:val="0"/>
                <w:sz w:val="24"/>
                <w:szCs w:val="24"/>
              </w:rPr>
            </w:pPr>
          </w:p>
          <w:p w:rsidR="00FD4E20" w:rsidRDefault="00FD4E20" w:rsidP="001B154A">
            <w:pPr>
              <w:widowControl/>
              <w:spacing w:before="240"/>
              <w:ind w:firstLine="465"/>
              <w:jc w:val="left"/>
              <w:rPr>
                <w:rFonts w:ascii="宋体" w:eastAsia="宋体" w:hAnsi="宋体" w:cs="宋体"/>
                <w:color w:val="000000"/>
                <w:kern w:val="0"/>
                <w:sz w:val="24"/>
                <w:szCs w:val="24"/>
              </w:rPr>
            </w:pPr>
          </w:p>
          <w:p w:rsidR="00FD4E20" w:rsidRDefault="00FD4E20" w:rsidP="001B154A">
            <w:pPr>
              <w:widowControl/>
              <w:spacing w:before="240"/>
              <w:ind w:firstLine="465"/>
              <w:jc w:val="left"/>
              <w:rPr>
                <w:rFonts w:ascii="宋体" w:eastAsia="宋体" w:hAnsi="宋体" w:cs="宋体"/>
                <w:color w:val="000000"/>
                <w:kern w:val="0"/>
                <w:sz w:val="24"/>
                <w:szCs w:val="24"/>
              </w:rPr>
            </w:pPr>
          </w:p>
          <w:p w:rsidR="00FD4E20" w:rsidRDefault="00FD4E20" w:rsidP="001B154A">
            <w:pPr>
              <w:widowControl/>
              <w:spacing w:before="240"/>
              <w:ind w:firstLine="465"/>
              <w:jc w:val="left"/>
              <w:rPr>
                <w:rFonts w:ascii="宋体" w:eastAsia="宋体" w:hAnsi="宋体" w:cs="宋体"/>
                <w:color w:val="000000"/>
                <w:kern w:val="0"/>
                <w:sz w:val="24"/>
                <w:szCs w:val="24"/>
              </w:rPr>
            </w:pPr>
          </w:p>
          <w:p w:rsidR="00FD4E20" w:rsidRDefault="00FD4E20" w:rsidP="001B154A">
            <w:pPr>
              <w:widowControl/>
              <w:spacing w:before="240"/>
              <w:ind w:firstLine="465"/>
              <w:jc w:val="left"/>
              <w:rPr>
                <w:rFonts w:ascii="宋体" w:eastAsia="宋体" w:hAnsi="宋体" w:cs="宋体"/>
                <w:color w:val="000000"/>
                <w:kern w:val="0"/>
                <w:sz w:val="24"/>
                <w:szCs w:val="24"/>
              </w:rPr>
            </w:pPr>
          </w:p>
          <w:p w:rsidR="00FD4E20" w:rsidRDefault="00FD4E20" w:rsidP="001B154A">
            <w:pPr>
              <w:widowControl/>
              <w:spacing w:before="240"/>
              <w:ind w:firstLine="465"/>
              <w:jc w:val="left"/>
              <w:rPr>
                <w:rFonts w:ascii="宋体" w:eastAsia="宋体" w:hAnsi="宋体" w:cs="宋体"/>
                <w:color w:val="000000"/>
                <w:kern w:val="0"/>
                <w:sz w:val="24"/>
                <w:szCs w:val="24"/>
              </w:rPr>
            </w:pPr>
          </w:p>
          <w:p w:rsidR="00FD4E20" w:rsidRDefault="00FD4E20" w:rsidP="001B154A">
            <w:pPr>
              <w:widowControl/>
              <w:spacing w:before="240"/>
              <w:ind w:firstLine="465"/>
              <w:jc w:val="left"/>
              <w:rPr>
                <w:rFonts w:ascii="宋体" w:eastAsia="宋体" w:hAnsi="宋体" w:cs="宋体"/>
                <w:color w:val="000000"/>
                <w:kern w:val="0"/>
                <w:sz w:val="24"/>
                <w:szCs w:val="24"/>
              </w:rPr>
            </w:pPr>
          </w:p>
          <w:p w:rsidR="00FD4E20" w:rsidRDefault="00FD4E20" w:rsidP="001B154A">
            <w:pPr>
              <w:widowControl/>
              <w:spacing w:before="240"/>
              <w:ind w:firstLine="465"/>
              <w:jc w:val="left"/>
              <w:rPr>
                <w:rFonts w:ascii="宋体" w:eastAsia="宋体" w:hAnsi="宋体" w:cs="宋体" w:hint="eastAsia"/>
                <w:color w:val="000000"/>
                <w:kern w:val="0"/>
                <w:sz w:val="24"/>
                <w:szCs w:val="24"/>
              </w:rPr>
            </w:pPr>
          </w:p>
          <w:p w:rsidR="00FD4E20" w:rsidRDefault="00FD4E20" w:rsidP="001B154A">
            <w:pPr>
              <w:widowControl/>
              <w:spacing w:before="240"/>
              <w:ind w:firstLine="465"/>
              <w:jc w:val="left"/>
              <w:rPr>
                <w:rFonts w:ascii="宋体" w:eastAsia="宋体" w:hAnsi="宋体" w:cs="宋体"/>
                <w:color w:val="000000"/>
                <w:kern w:val="0"/>
                <w:sz w:val="24"/>
                <w:szCs w:val="24"/>
              </w:rPr>
            </w:pPr>
          </w:p>
          <w:p w:rsidR="00FD4E20" w:rsidRDefault="00FD4E20" w:rsidP="001B154A">
            <w:pPr>
              <w:widowControl/>
              <w:spacing w:before="240"/>
              <w:ind w:firstLine="465"/>
              <w:jc w:val="left"/>
              <w:rPr>
                <w:rFonts w:ascii="宋体" w:eastAsia="宋体" w:hAnsi="宋体" w:cs="宋体"/>
                <w:color w:val="000000"/>
                <w:kern w:val="0"/>
                <w:sz w:val="24"/>
                <w:szCs w:val="24"/>
              </w:rPr>
            </w:pPr>
          </w:p>
          <w:p w:rsidR="00FD4E20" w:rsidRDefault="00FD4E20" w:rsidP="001B154A">
            <w:pPr>
              <w:widowControl/>
              <w:spacing w:before="240"/>
              <w:ind w:firstLine="465"/>
              <w:jc w:val="left"/>
              <w:rPr>
                <w:rFonts w:ascii="宋体" w:eastAsia="宋体" w:hAnsi="宋体" w:cs="宋体"/>
                <w:color w:val="000000"/>
                <w:kern w:val="0"/>
                <w:sz w:val="24"/>
                <w:szCs w:val="24"/>
              </w:rPr>
            </w:pPr>
          </w:p>
          <w:p w:rsidR="00FD4E20" w:rsidRPr="002351A0" w:rsidRDefault="00FD4E20" w:rsidP="001B154A">
            <w:pPr>
              <w:widowControl/>
              <w:spacing w:before="240"/>
              <w:ind w:firstLine="465"/>
              <w:jc w:val="left"/>
              <w:rPr>
                <w:rFonts w:ascii="宋体" w:eastAsia="宋体" w:hAnsi="宋体" w:cs="宋体"/>
                <w:color w:val="000000"/>
                <w:kern w:val="0"/>
                <w:szCs w:val="21"/>
              </w:rPr>
            </w:pPr>
            <w:bookmarkStart w:id="0" w:name="_GoBack"/>
            <w:bookmarkEnd w:id="0"/>
          </w:p>
        </w:tc>
      </w:tr>
      <w:tr w:rsidR="00FD4E20" w:rsidRPr="00CD4079" w:rsidTr="001B154A">
        <w:trPr>
          <w:tblCellSpacing w:w="0" w:type="dxa"/>
          <w:jc w:val="center"/>
        </w:trPr>
        <w:tc>
          <w:tcPr>
            <w:tcW w:w="9737" w:type="dxa"/>
            <w:vAlign w:val="center"/>
            <w:hideMark/>
          </w:tcPr>
          <w:p w:rsidR="00FD4E20" w:rsidRPr="00CD4079" w:rsidRDefault="00FD4E20" w:rsidP="001B154A">
            <w:pPr>
              <w:widowControl/>
              <w:spacing w:line="408" w:lineRule="auto"/>
              <w:jc w:val="left"/>
              <w:rPr>
                <w:rFonts w:ascii="宋体" w:eastAsia="宋体" w:hAnsi="宋体" w:cs="宋体"/>
                <w:color w:val="000000"/>
                <w:kern w:val="0"/>
                <w:sz w:val="18"/>
                <w:szCs w:val="18"/>
              </w:rPr>
            </w:pPr>
          </w:p>
        </w:tc>
      </w:tr>
    </w:tbl>
    <w:p w:rsidR="00FD4E20" w:rsidRPr="00CD4079" w:rsidRDefault="00FD4E20" w:rsidP="00FD4E20"/>
    <w:p w:rsidR="00FD4E20" w:rsidRPr="006824F3" w:rsidRDefault="00FD4E20" w:rsidP="00FD4E20">
      <w:pPr>
        <w:pStyle w:val="a5"/>
        <w:spacing w:before="0" w:beforeAutospacing="0" w:after="0" w:afterAutospacing="0" w:line="375" w:lineRule="atLeast"/>
        <w:ind w:firstLineChars="1800" w:firstLine="5760"/>
        <w:rPr>
          <w:rFonts w:ascii="仿宋_GB2312" w:eastAsia="仿宋_GB2312"/>
          <w:sz w:val="32"/>
          <w:szCs w:val="32"/>
        </w:rPr>
      </w:pPr>
    </w:p>
    <w:p w:rsidR="00FD4E20" w:rsidRPr="007949E6" w:rsidRDefault="00FD4E20" w:rsidP="00FD4E20">
      <w:pPr>
        <w:pStyle w:val="a5"/>
        <w:spacing w:before="0" w:beforeAutospacing="0" w:after="0" w:afterAutospacing="0" w:line="375" w:lineRule="atLeast"/>
        <w:rPr>
          <w:rFonts w:ascii="仿宋_GB2312" w:eastAsia="仿宋_GB2312"/>
          <w:sz w:val="32"/>
          <w:szCs w:val="32"/>
        </w:rPr>
      </w:pPr>
    </w:p>
    <w:p w:rsidR="0042304E" w:rsidRPr="00FD4E20" w:rsidRDefault="0042304E"/>
    <w:sectPr w:rsidR="0042304E" w:rsidRPr="00FD4E20" w:rsidSect="002A73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281" w:rsidRDefault="00B96281" w:rsidP="00FD4E20">
      <w:r>
        <w:separator/>
      </w:r>
    </w:p>
  </w:endnote>
  <w:endnote w:type="continuationSeparator" w:id="0">
    <w:p w:rsidR="00B96281" w:rsidRDefault="00B96281" w:rsidP="00FD4E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281" w:rsidRDefault="00B96281" w:rsidP="00FD4E20">
      <w:r>
        <w:separator/>
      </w:r>
    </w:p>
  </w:footnote>
  <w:footnote w:type="continuationSeparator" w:id="0">
    <w:p w:rsidR="00B96281" w:rsidRDefault="00B96281" w:rsidP="00FD4E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4E20"/>
    <w:rsid w:val="0042304E"/>
    <w:rsid w:val="00B96281"/>
    <w:rsid w:val="00FD4E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E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4E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4E20"/>
    <w:rPr>
      <w:sz w:val="18"/>
      <w:szCs w:val="18"/>
    </w:rPr>
  </w:style>
  <w:style w:type="paragraph" w:styleId="a4">
    <w:name w:val="footer"/>
    <w:basedOn w:val="a"/>
    <w:link w:val="Char0"/>
    <w:uiPriority w:val="99"/>
    <w:semiHidden/>
    <w:unhideWhenUsed/>
    <w:rsid w:val="00FD4E2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D4E20"/>
    <w:rPr>
      <w:sz w:val="18"/>
      <w:szCs w:val="18"/>
    </w:rPr>
  </w:style>
  <w:style w:type="paragraph" w:styleId="a5">
    <w:name w:val="Normal (Web)"/>
    <w:basedOn w:val="a"/>
    <w:uiPriority w:val="99"/>
    <w:unhideWhenUsed/>
    <w:rsid w:val="00FD4E2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563</Words>
  <Characters>3214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徐海英</dc:creator>
  <cp:keywords/>
  <dc:description/>
  <cp:lastModifiedBy>徐海英</cp:lastModifiedBy>
  <cp:revision>2</cp:revision>
  <dcterms:created xsi:type="dcterms:W3CDTF">2016-08-09T02:00:00Z</dcterms:created>
  <dcterms:modified xsi:type="dcterms:W3CDTF">2016-08-09T02:01:00Z</dcterms:modified>
</cp:coreProperties>
</file>