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77"/>
        </w:tabs>
        <w:rPr>
          <w:rFonts w:hint="eastAsia"/>
          <w:lang w:eastAsia="zh-CN"/>
        </w:rPr>
      </w:pPr>
      <w:r>
        <w:rPr>
          <w:rFonts w:hint="eastAsia"/>
          <w:lang w:eastAsia="zh-CN"/>
        </w:rPr>
        <w:tab/>
      </w:r>
    </w:p>
    <w:p>
      <w:pPr>
        <w:tabs>
          <w:tab w:val="left" w:pos="5977"/>
        </w:tabs>
        <w:rPr>
          <w:rFonts w:hint="eastAsia"/>
          <w:lang w:eastAsia="zh-CN"/>
        </w:rPr>
      </w:pPr>
    </w:p>
    <w:p>
      <w:pPr>
        <w:tabs>
          <w:tab w:val="left" w:pos="5977"/>
        </w:tabs>
        <w:rPr>
          <w:rFonts w:hint="eastAsia"/>
          <w:lang w:eastAsia="zh-CN"/>
        </w:rPr>
      </w:pPr>
    </w:p>
    <w:p>
      <w:pPr>
        <w:tabs>
          <w:tab w:val="left" w:pos="5977"/>
        </w:tabs>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tabs>
          <w:tab w:val="left" w:pos="5977"/>
        </w:tabs>
        <w:rPr>
          <w:rFonts w:hint="eastAsia"/>
          <w:lang w:eastAsia="zh-CN"/>
        </w:rPr>
      </w:pPr>
    </w:p>
    <w:p>
      <w:pPr>
        <w:tabs>
          <w:tab w:val="left" w:pos="5977"/>
        </w:tabs>
        <w:rPr>
          <w:rFonts w:hint="eastAsia"/>
          <w:lang w:eastAsia="zh-CN"/>
        </w:rPr>
      </w:pPr>
    </w:p>
    <w:p>
      <w:pPr>
        <w:tabs>
          <w:tab w:val="left" w:pos="5977"/>
        </w:tabs>
        <w:rPr>
          <w:rFonts w:hint="eastAsia"/>
          <w:lang w:eastAsia="zh-CN"/>
        </w:rPr>
      </w:pPr>
    </w:p>
    <w:p>
      <w:pPr>
        <w:keepNext w:val="0"/>
        <w:keepLines w:val="0"/>
        <w:pageBreakBefore w:val="0"/>
        <w:widowControl w:val="0"/>
        <w:tabs>
          <w:tab w:val="left" w:pos="5977"/>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关于《深圳市商事主体歇业实施办法》（送审稿）的</w:t>
      </w:r>
    </w:p>
    <w:p>
      <w:pPr>
        <w:keepNext w:val="0"/>
        <w:keepLines w:val="0"/>
        <w:pageBreakBefore w:val="0"/>
        <w:widowControl w:val="0"/>
        <w:tabs>
          <w:tab w:val="left" w:pos="5977"/>
        </w:tabs>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风险评估报告</w:t>
      </w:r>
    </w:p>
    <w:p>
      <w:pPr>
        <w:tabs>
          <w:tab w:val="left" w:pos="5977"/>
        </w:tabs>
        <w:ind w:left="-199" w:leftChars="-95" w:firstLine="0" w:firstLineChars="0"/>
        <w:jc w:val="center"/>
        <w:rPr>
          <w:rFonts w:hint="eastAsia" w:ascii="黑体" w:hAnsi="黑体" w:eastAsia="黑体" w:cs="黑体"/>
          <w:sz w:val="44"/>
          <w:szCs w:val="44"/>
          <w:lang w:val="en-US" w:eastAsia="zh-CN"/>
        </w:rPr>
      </w:pPr>
    </w:p>
    <w:p>
      <w:pPr>
        <w:numPr>
          <w:ilvl w:val="0"/>
          <w:numId w:val="0"/>
        </w:numPr>
        <w:tabs>
          <w:tab w:val="left" w:pos="5977"/>
        </w:tabs>
        <w:jc w:val="both"/>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2021</w:t>
      </w:r>
      <w:bookmarkStart w:id="40" w:name="_GoBack"/>
      <w:bookmarkEnd w:id="40"/>
      <w:r>
        <w:rPr>
          <w:rFonts w:hint="eastAsia" w:ascii="黑体" w:hAnsi="黑体" w:eastAsia="黑体" w:cs="黑体"/>
          <w:sz w:val="32"/>
          <w:szCs w:val="32"/>
          <w:lang w:val="en-US" w:eastAsia="zh-CN"/>
        </w:rPr>
        <w:t>年12月7日</w:t>
      </w: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p>
      <w:pPr>
        <w:numPr>
          <w:ilvl w:val="0"/>
          <w:numId w:val="0"/>
        </w:numPr>
        <w:tabs>
          <w:tab w:val="left" w:pos="5977"/>
        </w:tabs>
        <w:jc w:val="center"/>
        <w:rPr>
          <w:rFonts w:hint="eastAsia" w:ascii="黑体" w:hAnsi="黑体" w:eastAsia="黑体" w:cs="黑体"/>
          <w:sz w:val="32"/>
          <w:szCs w:val="32"/>
          <w:lang w:val="en-US" w:eastAsia="zh-CN"/>
        </w:rPr>
      </w:pPr>
    </w:p>
    <w:sdt>
      <w:sdtPr>
        <w:rPr>
          <w:rFonts w:ascii="宋体" w:hAnsi="宋体" w:eastAsia="宋体" w:cstheme="minorBidi"/>
          <w:kern w:val="2"/>
          <w:sz w:val="21"/>
          <w:szCs w:val="24"/>
          <w:lang w:val="en-US" w:eastAsia="zh-CN" w:bidi="ar-SA"/>
        </w:rPr>
        <w:id w:val="147470030"/>
        <w15:color w:val="DBDBDB"/>
        <w:docPartObj>
          <w:docPartGallery w:val="Table of Contents"/>
          <w:docPartUnique/>
        </w:docPartObj>
      </w:sdtPr>
      <w:sdtEndPr>
        <w:rPr>
          <w:rFonts w:hint="eastAsia" w:ascii="仿宋" w:hAnsi="仿宋" w:eastAsia="仿宋" w:cs="仿宋"/>
          <w:b/>
          <w:bCs/>
          <w:kern w:val="2"/>
          <w:sz w:val="28"/>
          <w:szCs w:val="28"/>
          <w:lang w:val="en-US" w:eastAsia="zh-CN" w:bidi="ar-SA"/>
        </w:rPr>
      </w:sdtEndPr>
      <w:sdtContent>
        <w:p>
          <w:pPr>
            <w:tabs>
              <w:tab w:val="left" w:pos="2437"/>
              <w:tab w:val="center" w:pos="4213"/>
            </w:tabs>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13"/>
            <w:tabs>
              <w:tab w:val="right" w:leader="dot" w:pos="8620"/>
            </w:tabs>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p>
        <w:p>
          <w:pPr>
            <w:pStyle w:val="11"/>
            <w:keepNext w:val="0"/>
            <w:keepLines w:val="0"/>
            <w:pageBreakBefore w:val="0"/>
            <w:widowControl w:val="0"/>
            <w:tabs>
              <w:tab w:val="right" w:leader="dot" w:pos="8620"/>
            </w:tabs>
            <w:kinsoku/>
            <w:wordWrap/>
            <w:overflowPunct/>
            <w:topLinePunct w:val="0"/>
            <w:autoSpaceDE/>
            <w:autoSpaceDN/>
            <w:bidi w:val="0"/>
            <w:adjustRightInd/>
            <w:snapToGrid/>
            <w:spacing w:line="440" w:lineRule="exact"/>
            <w:textAlignment w:val="auto"/>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fldChar w:fldCharType="begin"/>
          </w:r>
          <w:r>
            <w:rPr>
              <w:rFonts w:hint="eastAsia" w:ascii="华文仿宋" w:hAnsi="华文仿宋" w:eastAsia="华文仿宋" w:cs="华文仿宋"/>
              <w:b/>
              <w:bCs/>
              <w:sz w:val="24"/>
              <w:szCs w:val="24"/>
            </w:rPr>
            <w:instrText xml:space="preserve"> HYPERLINK \l _Toc26355 </w:instrText>
          </w:r>
          <w:r>
            <w:rPr>
              <w:rFonts w:hint="eastAsia" w:ascii="华文仿宋" w:hAnsi="华文仿宋" w:eastAsia="华文仿宋" w:cs="华文仿宋"/>
              <w:b/>
              <w:bCs/>
              <w:sz w:val="24"/>
              <w:szCs w:val="24"/>
            </w:rPr>
            <w:fldChar w:fldCharType="separate"/>
          </w:r>
          <w:r>
            <w:rPr>
              <w:rFonts w:hint="eastAsia" w:ascii="华文仿宋" w:hAnsi="华文仿宋" w:eastAsia="华文仿宋" w:cs="华文仿宋"/>
              <w:b/>
              <w:bCs/>
              <w:sz w:val="24"/>
              <w:szCs w:val="24"/>
              <w:lang w:val="en-US" w:eastAsia="zh-CN"/>
            </w:rPr>
            <w:t>第一部分 风险评估事项概述</w:t>
          </w:r>
          <w:r>
            <w:rPr>
              <w:rFonts w:hint="eastAsia" w:ascii="华文仿宋" w:hAnsi="华文仿宋" w:eastAsia="华文仿宋" w:cs="华文仿宋"/>
              <w:b/>
              <w:bCs/>
              <w:sz w:val="24"/>
              <w:szCs w:val="24"/>
            </w:rPr>
            <w:tab/>
          </w:r>
          <w:r>
            <w:rPr>
              <w:rFonts w:hint="eastAsia" w:ascii="华文仿宋" w:hAnsi="华文仿宋" w:eastAsia="华文仿宋" w:cs="华文仿宋"/>
              <w:b/>
              <w:bCs/>
              <w:sz w:val="24"/>
              <w:szCs w:val="24"/>
            </w:rPr>
            <w:fldChar w:fldCharType="begin"/>
          </w:r>
          <w:r>
            <w:rPr>
              <w:rFonts w:hint="eastAsia" w:ascii="华文仿宋" w:hAnsi="华文仿宋" w:eastAsia="华文仿宋" w:cs="华文仿宋"/>
              <w:b/>
              <w:bCs/>
              <w:sz w:val="24"/>
              <w:szCs w:val="24"/>
            </w:rPr>
            <w:instrText xml:space="preserve"> PAGEREF _Toc26355 \h </w:instrText>
          </w:r>
          <w:r>
            <w:rPr>
              <w:rFonts w:hint="eastAsia" w:ascii="华文仿宋" w:hAnsi="华文仿宋" w:eastAsia="华文仿宋" w:cs="华文仿宋"/>
              <w:b/>
              <w:bCs/>
              <w:sz w:val="24"/>
              <w:szCs w:val="24"/>
            </w:rPr>
            <w:fldChar w:fldCharType="separate"/>
          </w:r>
          <w:r>
            <w:rPr>
              <w:rFonts w:hint="eastAsia" w:ascii="华文仿宋" w:hAnsi="华文仿宋" w:eastAsia="华文仿宋" w:cs="华文仿宋"/>
              <w:b/>
              <w:bCs/>
              <w:sz w:val="24"/>
              <w:szCs w:val="24"/>
            </w:rPr>
            <w:t>- 1 -</w:t>
          </w:r>
          <w:r>
            <w:rPr>
              <w:rFonts w:hint="eastAsia" w:ascii="华文仿宋" w:hAnsi="华文仿宋" w:eastAsia="华文仿宋" w:cs="华文仿宋"/>
              <w:b/>
              <w:bCs/>
              <w:sz w:val="24"/>
              <w:szCs w:val="24"/>
            </w:rPr>
            <w:fldChar w:fldCharType="end"/>
          </w:r>
          <w:r>
            <w:rPr>
              <w:rFonts w:hint="eastAsia" w:ascii="华文仿宋" w:hAnsi="华文仿宋" w:eastAsia="华文仿宋" w:cs="华文仿宋"/>
              <w:b/>
              <w:bCs/>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_Toc1639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一、 风险评估事项</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_Toc1639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_Toc26990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sz w:val="24"/>
              <w:szCs w:val="24"/>
              <w:lang w:val="en-US" w:eastAsia="zh-CN"/>
            </w:rPr>
            <w:t>（一） 评估事项名称</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_Toc26990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_Toc10464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sz w:val="24"/>
              <w:szCs w:val="24"/>
              <w:lang w:val="en-US" w:eastAsia="zh-CN"/>
            </w:rPr>
            <w:t>（二） 评估事项制定背景</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_Toc10464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_Toc27369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sz w:val="24"/>
              <w:szCs w:val="24"/>
              <w:lang w:val="en-US" w:eastAsia="zh-CN"/>
            </w:rPr>
            <w:t>（三） 评估事项制定过程</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_Toc27369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- 2 -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_Toc13795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sz w:val="24"/>
              <w:szCs w:val="24"/>
              <w:lang w:val="en-US" w:eastAsia="zh-CN"/>
            </w:rPr>
            <w:t>（四） 评估事项主要内容</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_Toc13795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- 3 -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_Toc27748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二、 评估目的</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_Toc27748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- 4 -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_Toc6774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三、 评估依据</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_Toc6774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- 4 -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_Toc31795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四、 评估要点</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_Toc31795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- 5 -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_Toc3982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五、 评估方法</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_Toc3982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- 5 -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_Toc30325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六、 评估方式</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_Toc30325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- 5 -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1"/>
            <w:keepNext w:val="0"/>
            <w:keepLines w:val="0"/>
            <w:pageBreakBefore w:val="0"/>
            <w:widowControl w:val="0"/>
            <w:tabs>
              <w:tab w:val="right" w:leader="dot" w:pos="8620"/>
            </w:tabs>
            <w:kinsoku/>
            <w:wordWrap/>
            <w:overflowPunct/>
            <w:topLinePunct w:val="0"/>
            <w:autoSpaceDE/>
            <w:autoSpaceDN/>
            <w:bidi w:val="0"/>
            <w:adjustRightInd/>
            <w:snapToGrid/>
            <w:spacing w:line="440" w:lineRule="exact"/>
            <w:textAlignment w:val="auto"/>
            <w:rPr>
              <w:rFonts w:hint="eastAsia" w:ascii="华文仿宋" w:hAnsi="华文仿宋" w:eastAsia="华文仿宋" w:cs="华文仿宋"/>
              <w:b/>
              <w:bCs/>
              <w:sz w:val="24"/>
              <w:szCs w:val="24"/>
            </w:rPr>
          </w:pPr>
          <w:r>
            <w:rPr>
              <w:rFonts w:hint="eastAsia" w:ascii="华文仿宋" w:hAnsi="华文仿宋" w:eastAsia="华文仿宋" w:cs="华文仿宋"/>
              <w:b/>
              <w:bCs/>
              <w:sz w:val="24"/>
              <w:szCs w:val="24"/>
            </w:rPr>
            <w:fldChar w:fldCharType="begin"/>
          </w:r>
          <w:r>
            <w:rPr>
              <w:rFonts w:hint="eastAsia" w:ascii="华文仿宋" w:hAnsi="华文仿宋" w:eastAsia="华文仿宋" w:cs="华文仿宋"/>
              <w:b/>
              <w:bCs/>
              <w:sz w:val="24"/>
              <w:szCs w:val="24"/>
            </w:rPr>
            <w:instrText xml:space="preserve"> HYPERLINK \l _Toc16076 </w:instrText>
          </w:r>
          <w:r>
            <w:rPr>
              <w:rFonts w:hint="eastAsia" w:ascii="华文仿宋" w:hAnsi="华文仿宋" w:eastAsia="华文仿宋" w:cs="华文仿宋"/>
              <w:b/>
              <w:bCs/>
              <w:sz w:val="24"/>
              <w:szCs w:val="24"/>
            </w:rPr>
            <w:fldChar w:fldCharType="separate"/>
          </w:r>
          <w:r>
            <w:rPr>
              <w:rFonts w:hint="eastAsia" w:ascii="华文仿宋" w:hAnsi="华文仿宋" w:eastAsia="华文仿宋" w:cs="华文仿宋"/>
              <w:b/>
              <w:bCs/>
              <w:sz w:val="24"/>
              <w:szCs w:val="24"/>
              <w:lang w:val="en-US" w:eastAsia="zh-CN"/>
            </w:rPr>
            <w:t>第二部分 风险评估内容</w:t>
          </w:r>
          <w:r>
            <w:rPr>
              <w:rFonts w:hint="eastAsia" w:ascii="华文仿宋" w:hAnsi="华文仿宋" w:eastAsia="华文仿宋" w:cs="华文仿宋"/>
              <w:b/>
              <w:bCs/>
              <w:sz w:val="24"/>
              <w:szCs w:val="24"/>
            </w:rPr>
            <w:tab/>
          </w:r>
          <w:r>
            <w:rPr>
              <w:rFonts w:hint="eastAsia" w:ascii="华文仿宋" w:hAnsi="华文仿宋" w:eastAsia="华文仿宋" w:cs="华文仿宋"/>
              <w:b/>
              <w:bCs/>
              <w:sz w:val="24"/>
              <w:szCs w:val="24"/>
            </w:rPr>
            <w:fldChar w:fldCharType="begin"/>
          </w:r>
          <w:r>
            <w:rPr>
              <w:rFonts w:hint="eastAsia" w:ascii="华文仿宋" w:hAnsi="华文仿宋" w:eastAsia="华文仿宋" w:cs="华文仿宋"/>
              <w:b/>
              <w:bCs/>
              <w:sz w:val="24"/>
              <w:szCs w:val="24"/>
            </w:rPr>
            <w:instrText xml:space="preserve"> PAGEREF _Toc16076 \h </w:instrText>
          </w:r>
          <w:r>
            <w:rPr>
              <w:rFonts w:hint="eastAsia" w:ascii="华文仿宋" w:hAnsi="华文仿宋" w:eastAsia="华文仿宋" w:cs="华文仿宋"/>
              <w:b/>
              <w:bCs/>
              <w:sz w:val="24"/>
              <w:szCs w:val="24"/>
            </w:rPr>
            <w:fldChar w:fldCharType="separate"/>
          </w:r>
          <w:r>
            <w:rPr>
              <w:rFonts w:hint="eastAsia" w:ascii="华文仿宋" w:hAnsi="华文仿宋" w:eastAsia="华文仿宋" w:cs="华文仿宋"/>
              <w:b/>
              <w:bCs/>
              <w:sz w:val="24"/>
              <w:szCs w:val="24"/>
            </w:rPr>
            <w:t>- 6 -</w:t>
          </w:r>
          <w:r>
            <w:rPr>
              <w:rFonts w:hint="eastAsia" w:ascii="华文仿宋" w:hAnsi="华文仿宋" w:eastAsia="华文仿宋" w:cs="华文仿宋"/>
              <w:b/>
              <w:bCs/>
              <w:sz w:val="24"/>
              <w:szCs w:val="24"/>
            </w:rPr>
            <w:fldChar w:fldCharType="end"/>
          </w:r>
          <w:r>
            <w:rPr>
              <w:rFonts w:hint="eastAsia" w:ascii="华文仿宋" w:hAnsi="华文仿宋" w:eastAsia="华文仿宋" w:cs="华文仿宋"/>
              <w:b/>
              <w:bCs/>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_Toc3799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一、 合法性评估</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_Toc3799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- 6 -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_Toc755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sz w:val="24"/>
              <w:szCs w:val="24"/>
              <w:lang w:val="en-US" w:eastAsia="zh-CN"/>
            </w:rPr>
            <w:t>（一） 决策承办单位主体资格</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_Toc755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- 6 -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_Toc7063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sz w:val="24"/>
              <w:szCs w:val="24"/>
              <w:lang w:val="en-US" w:eastAsia="zh-CN"/>
            </w:rPr>
            <w:t>（二） 制定依据</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_Toc7063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- 6 -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_Toc19885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sz w:val="24"/>
              <w:szCs w:val="24"/>
              <w:lang w:val="en-US" w:eastAsia="zh-CN"/>
            </w:rPr>
            <w:t>（三） 制定程序</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_Toc19885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- 7 -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_Toc29334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二、 合理性评估</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_Toc29334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- 7 -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_Toc1230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sz w:val="24"/>
              <w:szCs w:val="24"/>
              <w:lang w:val="en-US" w:eastAsia="zh-CN"/>
            </w:rPr>
            <w:t xml:space="preserve">（一） </w:t>
          </w:r>
          <w:r>
            <w:rPr>
              <w:rFonts w:hint="eastAsia" w:ascii="华文仿宋" w:hAnsi="华文仿宋" w:eastAsia="华文仿宋" w:cs="华文仿宋"/>
              <w:bCs/>
              <w:kern w:val="2"/>
              <w:sz w:val="24"/>
              <w:szCs w:val="24"/>
              <w:lang w:val="en-US" w:eastAsia="zh-CN" w:bidi="ar-SA"/>
            </w:rPr>
            <w:t>是响应相关法规修订，促进商事主体歇业制度落到实地的应有之意</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_Toc1230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- 8 -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_Toc29695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kern w:val="2"/>
              <w:sz w:val="24"/>
              <w:szCs w:val="24"/>
              <w:lang w:val="en-US" w:eastAsia="zh-CN" w:bidi="ar-SA"/>
            </w:rPr>
            <w:t>（二） 是回应企业的实际诉求、助力中小型企业渡过难关的需要</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_Toc29695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- 8 -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_Toc31441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kern w:val="2"/>
              <w:sz w:val="24"/>
              <w:szCs w:val="24"/>
              <w:lang w:val="en-US" w:eastAsia="zh-CN" w:bidi="ar-SA"/>
            </w:rPr>
            <w:t>（三） 有利于提高市场监管效能，优化营商环境</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_Toc31441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- 9 -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_Toc22363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三、 可行性评估</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_Toc22363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- 10 -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_Toc25649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kern w:val="2"/>
              <w:sz w:val="24"/>
              <w:szCs w:val="24"/>
              <w:lang w:val="en-US" w:eastAsia="zh-CN" w:bidi="ar-SA"/>
            </w:rPr>
            <w:t>（一） 信用监管体制的初步建立，为歇业制度提供了保障</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_Toc25649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- 10 -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_Toc13825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kern w:val="2"/>
              <w:sz w:val="24"/>
              <w:szCs w:val="24"/>
              <w:lang w:val="en-US" w:eastAsia="zh-CN" w:bidi="ar-SA"/>
            </w:rPr>
            <w:t>（二） 试点经验的积累促进了《实施办法》的可操作性</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_Toc13825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- 11 -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_Toc30856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kern w:val="2"/>
              <w:sz w:val="24"/>
              <w:szCs w:val="24"/>
              <w:lang w:val="en-US" w:eastAsia="zh-CN" w:bidi="ar-SA"/>
            </w:rPr>
            <w:t>（三） 《市场主体登记管理条例》的制定及颁布，为《实施办法》的制定和施行提供了良好的外部环境</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_Toc30856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- 13 -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3"/>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_Toc26178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val="0"/>
              <w:sz w:val="24"/>
              <w:szCs w:val="24"/>
              <w:lang w:val="en-US" w:eastAsia="zh-CN"/>
            </w:rPr>
            <w:t>四、 可控性评估</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_Toc26178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- 13 -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_Toc9621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kern w:val="2"/>
              <w:sz w:val="24"/>
              <w:szCs w:val="24"/>
              <w:lang w:val="en-US" w:eastAsia="zh-CN" w:bidi="ar-SA"/>
            </w:rPr>
            <w:t>（一） 可能存在的风险点</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_Toc9621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- 14 -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8"/>
            <w:keepNext w:val="0"/>
            <w:keepLines w:val="0"/>
            <w:pageBreakBefore w:val="0"/>
            <w:widowControl w:val="0"/>
            <w:tabs>
              <w:tab w:val="right" w:leader="dot" w:pos="8620"/>
            </w:tabs>
            <w:kinsoku/>
            <w:wordWrap/>
            <w:overflowPunct/>
            <w:topLinePunct w:val="0"/>
            <w:autoSpaceDE/>
            <w:autoSpaceDN/>
            <w:bidi w:val="0"/>
            <w:adjustRightInd/>
            <w:snapToGrid/>
            <w:spacing w:line="440" w:lineRule="exact"/>
            <w:ind w:left="0" w:leftChars="0" w:firstLine="0" w:firstLineChars="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HYPERLINK \l _Toc5320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bCs/>
              <w:kern w:val="2"/>
              <w:sz w:val="24"/>
              <w:szCs w:val="24"/>
              <w:lang w:val="en-US" w:eastAsia="zh-CN" w:bidi="ar-SA"/>
            </w:rPr>
            <w:t>（二） 风险防范、减缓及化解措施建议</w:t>
          </w:r>
          <w:r>
            <w:rPr>
              <w:rFonts w:hint="eastAsia" w:ascii="华文仿宋" w:hAnsi="华文仿宋" w:eastAsia="华文仿宋" w:cs="华文仿宋"/>
              <w:sz w:val="24"/>
              <w:szCs w:val="24"/>
            </w:rPr>
            <w:tab/>
          </w:r>
          <w:r>
            <w:rPr>
              <w:rFonts w:hint="eastAsia" w:ascii="华文仿宋" w:hAnsi="华文仿宋" w:eastAsia="华文仿宋" w:cs="华文仿宋"/>
              <w:sz w:val="24"/>
              <w:szCs w:val="24"/>
            </w:rPr>
            <w:fldChar w:fldCharType="begin"/>
          </w:r>
          <w:r>
            <w:rPr>
              <w:rFonts w:hint="eastAsia" w:ascii="华文仿宋" w:hAnsi="华文仿宋" w:eastAsia="华文仿宋" w:cs="华文仿宋"/>
              <w:sz w:val="24"/>
              <w:szCs w:val="24"/>
            </w:rPr>
            <w:instrText xml:space="preserve"> PAGEREF _Toc5320 \h </w:instrText>
          </w:r>
          <w:r>
            <w:rPr>
              <w:rFonts w:hint="eastAsia" w:ascii="华文仿宋" w:hAnsi="华文仿宋" w:eastAsia="华文仿宋" w:cs="华文仿宋"/>
              <w:sz w:val="24"/>
              <w:szCs w:val="24"/>
            </w:rPr>
            <w:fldChar w:fldCharType="separate"/>
          </w:r>
          <w:r>
            <w:rPr>
              <w:rFonts w:hint="eastAsia" w:ascii="华文仿宋" w:hAnsi="华文仿宋" w:eastAsia="华文仿宋" w:cs="华文仿宋"/>
              <w:sz w:val="24"/>
              <w:szCs w:val="24"/>
            </w:rPr>
            <w:t>- 15 -</w:t>
          </w:r>
          <w:r>
            <w:rPr>
              <w:rFonts w:hint="eastAsia" w:ascii="华文仿宋" w:hAnsi="华文仿宋" w:eastAsia="华文仿宋" w:cs="华文仿宋"/>
              <w:sz w:val="24"/>
              <w:szCs w:val="24"/>
            </w:rPr>
            <w:fldChar w:fldCharType="end"/>
          </w:r>
          <w:r>
            <w:rPr>
              <w:rFonts w:hint="eastAsia" w:ascii="华文仿宋" w:hAnsi="华文仿宋" w:eastAsia="华文仿宋" w:cs="华文仿宋"/>
              <w:sz w:val="24"/>
              <w:szCs w:val="24"/>
            </w:rPr>
            <w:fldChar w:fldCharType="end"/>
          </w:r>
        </w:p>
        <w:p>
          <w:pPr>
            <w:pStyle w:val="11"/>
            <w:keepNext w:val="0"/>
            <w:keepLines w:val="0"/>
            <w:pageBreakBefore w:val="0"/>
            <w:widowControl w:val="0"/>
            <w:tabs>
              <w:tab w:val="right" w:leader="dot" w:pos="8620"/>
            </w:tabs>
            <w:kinsoku/>
            <w:wordWrap/>
            <w:overflowPunct/>
            <w:topLinePunct w:val="0"/>
            <w:autoSpaceDE/>
            <w:autoSpaceDN/>
            <w:bidi w:val="0"/>
            <w:adjustRightInd/>
            <w:snapToGrid/>
            <w:spacing w:line="440" w:lineRule="exact"/>
            <w:textAlignment w:val="auto"/>
          </w:pPr>
          <w:r>
            <w:rPr>
              <w:rFonts w:hint="eastAsia" w:ascii="华文仿宋" w:hAnsi="华文仿宋" w:eastAsia="华文仿宋" w:cs="华文仿宋"/>
              <w:b/>
              <w:bCs/>
              <w:sz w:val="24"/>
              <w:szCs w:val="24"/>
            </w:rPr>
            <w:fldChar w:fldCharType="begin"/>
          </w:r>
          <w:r>
            <w:rPr>
              <w:rFonts w:hint="eastAsia" w:ascii="华文仿宋" w:hAnsi="华文仿宋" w:eastAsia="华文仿宋" w:cs="华文仿宋"/>
              <w:b/>
              <w:bCs/>
              <w:sz w:val="24"/>
              <w:szCs w:val="24"/>
            </w:rPr>
            <w:instrText xml:space="preserve"> HYPERLINK \l _Toc11168 </w:instrText>
          </w:r>
          <w:r>
            <w:rPr>
              <w:rFonts w:hint="eastAsia" w:ascii="华文仿宋" w:hAnsi="华文仿宋" w:eastAsia="华文仿宋" w:cs="华文仿宋"/>
              <w:b/>
              <w:bCs/>
              <w:sz w:val="24"/>
              <w:szCs w:val="24"/>
            </w:rPr>
            <w:fldChar w:fldCharType="separate"/>
          </w:r>
          <w:r>
            <w:rPr>
              <w:rFonts w:hint="eastAsia" w:ascii="华文仿宋" w:hAnsi="华文仿宋" w:eastAsia="华文仿宋" w:cs="华文仿宋"/>
              <w:b/>
              <w:bCs/>
              <w:kern w:val="2"/>
              <w:sz w:val="24"/>
              <w:szCs w:val="24"/>
              <w:lang w:val="en-US" w:eastAsia="zh-CN" w:bidi="ar-SA"/>
            </w:rPr>
            <w:t>第三部分 风险评估结论</w:t>
          </w:r>
          <w:r>
            <w:rPr>
              <w:rFonts w:hint="eastAsia" w:ascii="华文仿宋" w:hAnsi="华文仿宋" w:eastAsia="华文仿宋" w:cs="华文仿宋"/>
              <w:b/>
              <w:bCs/>
              <w:sz w:val="24"/>
              <w:szCs w:val="24"/>
            </w:rPr>
            <w:tab/>
          </w:r>
          <w:r>
            <w:rPr>
              <w:rFonts w:hint="eastAsia" w:ascii="华文仿宋" w:hAnsi="华文仿宋" w:eastAsia="华文仿宋" w:cs="华文仿宋"/>
              <w:b/>
              <w:bCs/>
              <w:sz w:val="24"/>
              <w:szCs w:val="24"/>
            </w:rPr>
            <w:fldChar w:fldCharType="begin"/>
          </w:r>
          <w:r>
            <w:rPr>
              <w:rFonts w:hint="eastAsia" w:ascii="华文仿宋" w:hAnsi="华文仿宋" w:eastAsia="华文仿宋" w:cs="华文仿宋"/>
              <w:b/>
              <w:bCs/>
              <w:sz w:val="24"/>
              <w:szCs w:val="24"/>
            </w:rPr>
            <w:instrText xml:space="preserve"> PAGEREF _Toc11168 \h </w:instrText>
          </w:r>
          <w:r>
            <w:rPr>
              <w:rFonts w:hint="eastAsia" w:ascii="华文仿宋" w:hAnsi="华文仿宋" w:eastAsia="华文仿宋" w:cs="华文仿宋"/>
              <w:b/>
              <w:bCs/>
              <w:sz w:val="24"/>
              <w:szCs w:val="24"/>
            </w:rPr>
            <w:fldChar w:fldCharType="separate"/>
          </w:r>
          <w:r>
            <w:rPr>
              <w:rFonts w:hint="eastAsia" w:ascii="华文仿宋" w:hAnsi="华文仿宋" w:eastAsia="华文仿宋" w:cs="华文仿宋"/>
              <w:b/>
              <w:bCs/>
              <w:sz w:val="24"/>
              <w:szCs w:val="24"/>
            </w:rPr>
            <w:t>- 18 -</w:t>
          </w:r>
          <w:r>
            <w:rPr>
              <w:rFonts w:hint="eastAsia" w:ascii="华文仿宋" w:hAnsi="华文仿宋" w:eastAsia="华文仿宋" w:cs="华文仿宋"/>
              <w:b/>
              <w:bCs/>
              <w:sz w:val="24"/>
              <w:szCs w:val="24"/>
            </w:rPr>
            <w:fldChar w:fldCharType="end"/>
          </w:r>
          <w:r>
            <w:rPr>
              <w:rFonts w:hint="eastAsia" w:ascii="华文仿宋" w:hAnsi="华文仿宋" w:eastAsia="华文仿宋" w:cs="华文仿宋"/>
              <w:b/>
              <w:bCs/>
              <w:sz w:val="24"/>
              <w:szCs w:val="24"/>
            </w:rPr>
            <w:fldChar w:fldCharType="end"/>
          </w:r>
        </w:p>
        <w:p>
          <w:pPr>
            <w:pStyle w:val="2"/>
            <w:jc w:val="both"/>
            <w:outlineLvl w:val="9"/>
            <w:rPr>
              <w:rFonts w:hint="eastAsia" w:ascii="仿宋" w:hAnsi="仿宋" w:eastAsia="仿宋" w:cs="仿宋"/>
              <w:sz w:val="28"/>
              <w:szCs w:val="28"/>
            </w:rPr>
          </w:pPr>
          <w:r>
            <w:rPr>
              <w:rFonts w:hint="eastAsia" w:ascii="仿宋" w:hAnsi="仿宋" w:eastAsia="仿宋" w:cs="仿宋"/>
              <w:szCs w:val="28"/>
            </w:rPr>
            <w:fldChar w:fldCharType="end"/>
          </w:r>
        </w:p>
      </w:sdtContent>
    </w:sdt>
    <w:p>
      <w:pPr>
        <w:tabs>
          <w:tab w:val="left" w:pos="5977"/>
        </w:tabs>
        <w:jc w:val="center"/>
        <w:outlineLvl w:val="0"/>
        <w:rPr>
          <w:rFonts w:hint="eastAsia" w:ascii="黑体" w:hAnsi="黑体" w:eastAsia="黑体" w:cs="黑体"/>
          <w:b/>
          <w:bCs/>
          <w:sz w:val="36"/>
          <w:szCs w:val="36"/>
          <w:lang w:val="en-US" w:eastAsia="zh-CN"/>
        </w:rPr>
      </w:pPr>
      <w:bookmarkStart w:id="0" w:name="_Toc20749"/>
      <w:bookmarkStart w:id="1" w:name="_Toc10298"/>
      <w:bookmarkStart w:id="2" w:name="_Toc13659"/>
      <w:bookmarkStart w:id="3" w:name="_Toc12512"/>
      <w:r>
        <w:rPr>
          <w:rFonts w:hint="eastAsia" w:ascii="黑体" w:hAnsi="黑体" w:eastAsia="黑体" w:cs="黑体"/>
          <w:b/>
          <w:bCs/>
          <w:sz w:val="36"/>
          <w:szCs w:val="36"/>
          <w:lang w:val="en-US" w:eastAsia="zh-CN"/>
        </w:rPr>
        <w:t>关于</w:t>
      </w:r>
      <w:bookmarkEnd w:id="0"/>
      <w:bookmarkStart w:id="4" w:name="_Toc5134"/>
      <w:r>
        <w:rPr>
          <w:rFonts w:hint="eastAsia" w:ascii="黑体" w:hAnsi="黑体" w:eastAsia="黑体" w:cs="黑体"/>
          <w:b/>
          <w:bCs/>
          <w:sz w:val="36"/>
          <w:szCs w:val="36"/>
          <w:lang w:val="en-US" w:eastAsia="zh-CN"/>
        </w:rPr>
        <w:t>《深圳市商事主体歇业实施办法》（送审稿）的</w:t>
      </w:r>
      <w:bookmarkEnd w:id="1"/>
      <w:bookmarkEnd w:id="2"/>
      <w:bookmarkEnd w:id="4"/>
      <w:bookmarkStart w:id="5" w:name="_Toc18083"/>
      <w:bookmarkStart w:id="6" w:name="_Toc31310"/>
      <w:bookmarkStart w:id="7" w:name="_Toc24651"/>
    </w:p>
    <w:p>
      <w:pPr>
        <w:tabs>
          <w:tab w:val="left" w:pos="5977"/>
        </w:tabs>
        <w:jc w:val="center"/>
        <w:outlineLvl w:val="0"/>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风险评估报告</w:t>
      </w:r>
      <w:bookmarkEnd w:id="3"/>
      <w:bookmarkEnd w:id="5"/>
      <w:bookmarkEnd w:id="6"/>
      <w:bookmarkEnd w:id="7"/>
    </w:p>
    <w:p>
      <w:pPr>
        <w:tabs>
          <w:tab w:val="left" w:pos="5977"/>
        </w:tabs>
        <w:jc w:val="center"/>
        <w:rPr>
          <w:rFonts w:hint="eastAsia" w:ascii="仿宋" w:hAnsi="仿宋" w:eastAsia="仿宋" w:cs="仿宋"/>
          <w:b w:val="0"/>
          <w:bCs w:val="0"/>
          <w:sz w:val="28"/>
          <w:szCs w:val="28"/>
          <w:lang w:val="en-US" w:eastAsia="zh-CN"/>
        </w:rPr>
      </w:pPr>
    </w:p>
    <w:p>
      <w:pPr>
        <w:pStyle w:val="4"/>
        <w:keepNext/>
        <w:keepLines/>
        <w:pageBreakBefore w:val="0"/>
        <w:widowControl w:val="0"/>
        <w:numPr>
          <w:ilvl w:val="0"/>
          <w:numId w:val="2"/>
        </w:numPr>
        <w:kinsoku/>
        <w:wordWrap/>
        <w:overflowPunct/>
        <w:topLinePunct w:val="0"/>
        <w:autoSpaceDE/>
        <w:autoSpaceDN/>
        <w:bidi w:val="0"/>
        <w:adjustRightInd/>
        <w:snapToGrid/>
        <w:spacing w:before="0" w:beforeLines="0" w:after="0" w:afterLines="0"/>
        <w:textAlignment w:val="auto"/>
        <w:rPr>
          <w:rFonts w:hint="eastAsia"/>
          <w:lang w:val="en-US" w:eastAsia="zh-CN"/>
        </w:rPr>
      </w:pPr>
      <w:r>
        <w:rPr>
          <w:rFonts w:hint="eastAsia"/>
          <w:lang w:val="en-US" w:eastAsia="zh-CN"/>
        </w:rPr>
        <w:t xml:space="preserve"> </w:t>
      </w:r>
      <w:bookmarkStart w:id="8" w:name="_Toc26355"/>
      <w:r>
        <w:rPr>
          <w:rFonts w:hint="eastAsia"/>
          <w:lang w:val="en-US" w:eastAsia="zh-CN"/>
        </w:rPr>
        <w:t>风险评估事项概述</w:t>
      </w:r>
      <w:bookmarkEnd w:id="8"/>
    </w:p>
    <w:p>
      <w:pPr>
        <w:keepNext w:val="0"/>
        <w:keepLines w:val="0"/>
        <w:pageBreakBefore w:val="0"/>
        <w:widowControl w:val="0"/>
        <w:numPr>
          <w:ilvl w:val="0"/>
          <w:numId w:val="0"/>
        </w:numPr>
        <w:tabs>
          <w:tab w:val="left" w:pos="5977"/>
        </w:tabs>
        <w:kinsoku/>
        <w:wordWrap/>
        <w:overflowPunct/>
        <w:topLinePunct w:val="0"/>
        <w:autoSpaceDE/>
        <w:autoSpaceDN/>
        <w:bidi w:val="0"/>
        <w:adjustRightInd/>
        <w:snapToGrid/>
        <w:jc w:val="both"/>
        <w:textAlignment w:val="auto"/>
        <w:rPr>
          <w:rFonts w:hint="eastAsia" w:ascii="仿宋" w:hAnsi="仿宋" w:eastAsia="仿宋" w:cs="仿宋"/>
          <w:b w:val="0"/>
          <w:bCs w:val="0"/>
          <w:sz w:val="30"/>
          <w:szCs w:val="30"/>
          <w:lang w:val="en-US" w:eastAsia="zh-CN"/>
        </w:rPr>
      </w:pPr>
    </w:p>
    <w:p>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600" w:firstLineChars="200"/>
        <w:jc w:val="both"/>
        <w:textAlignment w:val="auto"/>
        <w:rPr>
          <w:rFonts w:hint="eastAsia" w:ascii="黑体" w:hAnsi="黑体" w:eastAsia="黑体" w:cs="黑体"/>
          <w:b w:val="0"/>
          <w:bCs w:val="0"/>
          <w:sz w:val="30"/>
          <w:szCs w:val="30"/>
          <w:lang w:val="en-US" w:eastAsia="zh-CN"/>
        </w:rPr>
      </w:pPr>
      <w:bookmarkStart w:id="9" w:name="_Toc1639"/>
      <w:r>
        <w:rPr>
          <w:rFonts w:hint="eastAsia" w:ascii="黑体" w:hAnsi="黑体" w:eastAsia="黑体" w:cs="黑体"/>
          <w:b w:val="0"/>
          <w:bCs w:val="0"/>
          <w:sz w:val="30"/>
          <w:szCs w:val="30"/>
          <w:lang w:val="en-US" w:eastAsia="zh-CN"/>
        </w:rPr>
        <w:t>风险评估事项</w:t>
      </w:r>
      <w:bookmarkEnd w:id="9"/>
    </w:p>
    <w:p>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240" w:lineRule="auto"/>
        <w:ind w:left="0" w:leftChars="0" w:firstLine="600" w:firstLineChars="200"/>
        <w:jc w:val="both"/>
        <w:textAlignment w:val="auto"/>
        <w:rPr>
          <w:rFonts w:hint="eastAsia" w:ascii="黑体" w:hAnsi="黑体" w:eastAsia="黑体" w:cs="黑体"/>
          <w:b w:val="0"/>
          <w:bCs/>
          <w:sz w:val="30"/>
          <w:szCs w:val="30"/>
          <w:lang w:val="en-US" w:eastAsia="zh-CN"/>
        </w:rPr>
      </w:pPr>
      <w:bookmarkStart w:id="10" w:name="_Toc26990"/>
      <w:r>
        <w:rPr>
          <w:rFonts w:hint="eastAsia" w:ascii="黑体" w:hAnsi="黑体" w:eastAsia="黑体" w:cs="黑体"/>
          <w:b w:val="0"/>
          <w:bCs/>
          <w:sz w:val="30"/>
          <w:szCs w:val="30"/>
          <w:lang w:val="en-US" w:eastAsia="zh-CN"/>
        </w:rPr>
        <w:t>评估事项名称</w:t>
      </w:r>
      <w:bookmarkEnd w:id="10"/>
    </w:p>
    <w:p>
      <w:pPr>
        <w:numPr>
          <w:ilvl w:val="0"/>
          <w:numId w:val="0"/>
        </w:numPr>
        <w:tabs>
          <w:tab w:val="left" w:pos="5977"/>
        </w:tabs>
        <w:ind w:firstLine="600" w:firstLineChars="200"/>
        <w:jc w:val="both"/>
        <w:rPr>
          <w:rFonts w:hint="eastAsia" w:ascii="黑体" w:hAnsi="黑体" w:eastAsia="黑体" w:cs="黑体"/>
          <w:b/>
          <w:bCs/>
          <w:sz w:val="30"/>
          <w:szCs w:val="30"/>
          <w:lang w:val="en-US" w:eastAsia="zh-CN"/>
        </w:rPr>
      </w:pPr>
      <w:r>
        <w:rPr>
          <w:rFonts w:hint="eastAsia" w:ascii="仿宋" w:hAnsi="仿宋" w:eastAsia="仿宋" w:cs="仿宋"/>
          <w:b w:val="0"/>
          <w:bCs w:val="0"/>
          <w:sz w:val="30"/>
          <w:szCs w:val="30"/>
          <w:lang w:val="en-US" w:eastAsia="zh-CN"/>
        </w:rPr>
        <w:t>《深圳市商事主体歇业实施办法》（送审稿）（以下简称“《实施办法》”）</w:t>
      </w:r>
    </w:p>
    <w:p>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240" w:lineRule="auto"/>
        <w:ind w:left="0" w:leftChars="0" w:firstLine="600" w:firstLineChars="200"/>
        <w:jc w:val="both"/>
        <w:textAlignment w:val="auto"/>
        <w:rPr>
          <w:rFonts w:hint="eastAsia" w:ascii="黑体" w:hAnsi="黑体" w:eastAsia="黑体" w:cs="黑体"/>
          <w:b w:val="0"/>
          <w:bCs/>
          <w:sz w:val="30"/>
          <w:szCs w:val="30"/>
          <w:lang w:val="en-US" w:eastAsia="zh-CN"/>
        </w:rPr>
      </w:pPr>
      <w:bookmarkStart w:id="11" w:name="_Toc10464"/>
      <w:r>
        <w:rPr>
          <w:rFonts w:hint="eastAsia" w:ascii="黑体" w:hAnsi="黑体" w:eastAsia="黑体" w:cs="黑体"/>
          <w:b w:val="0"/>
          <w:bCs/>
          <w:sz w:val="30"/>
          <w:szCs w:val="30"/>
          <w:lang w:val="en-US" w:eastAsia="zh-CN"/>
        </w:rPr>
        <w:t>评估事项制定背景</w:t>
      </w:r>
      <w:bookmarkEnd w:id="11"/>
    </w:p>
    <w:p>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自2020年新冠肺炎疫情暴发以来，部分</w:t>
      </w:r>
      <w:r>
        <w:rPr>
          <w:rFonts w:hint="eastAsia" w:ascii="仿宋" w:hAnsi="仿宋" w:eastAsia="仿宋" w:cs="仿宋"/>
          <w:sz w:val="30"/>
          <w:szCs w:val="30"/>
        </w:rPr>
        <w:t>商事</w:t>
      </w:r>
      <w:r>
        <w:rPr>
          <w:rFonts w:hint="eastAsia" w:ascii="仿宋" w:hAnsi="仿宋" w:eastAsia="仿宋" w:cs="仿宋"/>
          <w:sz w:val="30"/>
          <w:szCs w:val="30"/>
          <w:lang w:val="en-US" w:eastAsia="zh-CN"/>
        </w:rPr>
        <w:t>主体因受疫情影响，暂时无法开展经营活动，但仍有较强的经营意愿和潜在的经营实力，由于没有相应的制度设计，导致</w:t>
      </w:r>
      <w:r>
        <w:rPr>
          <w:rFonts w:hint="eastAsia" w:ascii="仿宋" w:hAnsi="仿宋" w:eastAsia="仿宋" w:cs="仿宋"/>
          <w:sz w:val="30"/>
          <w:szCs w:val="30"/>
        </w:rPr>
        <w:t>商事</w:t>
      </w:r>
      <w:r>
        <w:rPr>
          <w:rFonts w:hint="eastAsia" w:ascii="仿宋" w:hAnsi="仿宋" w:eastAsia="仿宋" w:cs="仿宋"/>
          <w:sz w:val="30"/>
          <w:szCs w:val="30"/>
          <w:lang w:val="en-US" w:eastAsia="zh-CN"/>
        </w:rPr>
        <w:t>主体在客观上不能开展经营活动的同时，还需承担房租、人力等高额运营成本，难以为继。</w:t>
      </w:r>
      <w:r>
        <w:rPr>
          <w:rFonts w:hint="eastAsia" w:ascii="仿宋" w:hAnsi="仿宋" w:eastAsia="仿宋" w:cs="仿宋"/>
          <w:sz w:val="30"/>
          <w:szCs w:val="30"/>
        </w:rPr>
        <w:t>为助力这些商事主体度过经济不活跃期，节省维持成本，避免</w:t>
      </w:r>
      <w:r>
        <w:rPr>
          <w:rFonts w:hint="eastAsia" w:ascii="仿宋" w:hAnsi="仿宋" w:eastAsia="仿宋" w:cs="仿宋"/>
          <w:sz w:val="30"/>
          <w:szCs w:val="30"/>
          <w:lang w:eastAsia="zh-CN"/>
        </w:rPr>
        <w:t>商事主体</w:t>
      </w:r>
      <w:r>
        <w:rPr>
          <w:rFonts w:hint="eastAsia" w:ascii="仿宋" w:hAnsi="仿宋" w:eastAsia="仿宋" w:cs="仿宋"/>
          <w:sz w:val="30"/>
          <w:szCs w:val="30"/>
        </w:rPr>
        <w:t>总体数量出现较大波动，保持经济发展内在活力</w:t>
      </w:r>
      <w:r>
        <w:rPr>
          <w:rFonts w:hint="eastAsia" w:ascii="仿宋" w:hAnsi="仿宋" w:eastAsia="仿宋" w:cs="仿宋"/>
          <w:sz w:val="30"/>
          <w:szCs w:val="30"/>
          <w:lang w:val="en-US" w:eastAsia="zh-CN"/>
        </w:rPr>
        <w:t>。深圳市</w:t>
      </w:r>
      <w:r>
        <w:rPr>
          <w:rFonts w:hint="default" w:ascii="仿宋" w:hAnsi="仿宋" w:eastAsia="仿宋" w:cs="仿宋"/>
          <w:sz w:val="30"/>
          <w:szCs w:val="30"/>
          <w:lang w:val="en-US" w:eastAsia="zh-CN"/>
        </w:rPr>
        <w:t>第六届人民代表大会常务委员会于2020年10月29日</w:t>
      </w:r>
      <w:r>
        <w:rPr>
          <w:rFonts w:hint="eastAsia" w:ascii="仿宋" w:hAnsi="仿宋" w:eastAsia="仿宋" w:cs="仿宋"/>
          <w:sz w:val="30"/>
          <w:szCs w:val="30"/>
          <w:lang w:val="en-US" w:eastAsia="zh-CN"/>
        </w:rPr>
        <w:t>修订通过</w:t>
      </w:r>
      <w:r>
        <w:rPr>
          <w:rFonts w:hint="default" w:ascii="仿宋" w:hAnsi="仿宋" w:eastAsia="仿宋" w:cs="仿宋"/>
          <w:sz w:val="30"/>
          <w:szCs w:val="30"/>
          <w:lang w:val="en-US" w:eastAsia="zh-CN"/>
        </w:rPr>
        <w:t>《深圳经济特区商事登记若干规定》</w:t>
      </w:r>
      <w:r>
        <w:rPr>
          <w:rFonts w:hint="eastAsia" w:ascii="仿宋" w:hAnsi="仿宋" w:eastAsia="仿宋" w:cs="仿宋"/>
          <w:sz w:val="30"/>
          <w:szCs w:val="30"/>
          <w:lang w:val="en-US" w:eastAsia="zh-CN"/>
        </w:rPr>
        <w:t>并于2021年3月1日施行，</w:t>
      </w:r>
      <w:r>
        <w:rPr>
          <w:rFonts w:hint="eastAsia" w:ascii="仿宋" w:hAnsi="仿宋" w:eastAsia="仿宋" w:cs="仿宋"/>
          <w:sz w:val="30"/>
          <w:szCs w:val="30"/>
        </w:rPr>
        <w:t>变通上位法部分规定，在全国率先创设“</w:t>
      </w:r>
      <w:r>
        <w:rPr>
          <w:rFonts w:hint="eastAsia" w:ascii="仿宋" w:hAnsi="仿宋" w:eastAsia="仿宋" w:cs="仿宋"/>
          <w:sz w:val="30"/>
          <w:szCs w:val="30"/>
          <w:lang w:eastAsia="zh-CN"/>
        </w:rPr>
        <w:t>歇业备案</w:t>
      </w:r>
      <w:r>
        <w:rPr>
          <w:rFonts w:hint="eastAsia" w:ascii="仿宋" w:hAnsi="仿宋" w:eastAsia="仿宋" w:cs="仿宋"/>
          <w:sz w:val="30"/>
          <w:szCs w:val="30"/>
        </w:rPr>
        <w:t>”等与国际通行规则对接的商事登记制度，</w:t>
      </w:r>
      <w:r>
        <w:rPr>
          <w:rFonts w:hint="eastAsia" w:ascii="仿宋" w:hAnsi="仿宋" w:eastAsia="仿宋" w:cs="仿宋"/>
          <w:sz w:val="30"/>
          <w:szCs w:val="30"/>
          <w:lang w:val="en-US" w:eastAsia="zh-CN"/>
        </w:rPr>
        <w:t>并以深圳前海深港现代服务业合作区和宝安区作为歇业制度试点。自今年3月启动试点以来，已为11家商事主体办理了歇业备案。随后，2021年4月14日国务院第131次常务会议通过了《市场主体登记管理条例》，第30条借鉴英国企业休眠制度和我国香港特别行政区“不活动公司”制度等域外经验，并结合地方试点经验，首次以行政法规明确建立商事主体的歇业制度。</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为了将商事主体歇业制度落到实处，深圳市市场监督管理局成立了以直属单位深圳市企业注册局作为牵头单位的起草小组，根据《公司法》、《深圳经济特区商事登记若干规定》等法律、法规规定，并结合商事主体登记工作的实际情况起草制定</w:t>
      </w:r>
      <w:r>
        <w:rPr>
          <w:rFonts w:hint="eastAsia" w:ascii="仿宋" w:hAnsi="仿宋" w:eastAsia="仿宋" w:cs="仿宋"/>
          <w:b w:val="0"/>
          <w:bCs w:val="0"/>
          <w:sz w:val="30"/>
          <w:szCs w:val="30"/>
          <w:lang w:val="en-US" w:eastAsia="zh-CN"/>
        </w:rPr>
        <w:t>《实施办法》，作为商事主体歇业制度落实的配套规定，为商事主体办理歇业备案提供明晰的、法定化的指引。</w:t>
      </w:r>
    </w:p>
    <w:p>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240" w:lineRule="auto"/>
        <w:ind w:left="0" w:leftChars="0" w:firstLine="600" w:firstLineChars="200"/>
        <w:textAlignment w:val="auto"/>
        <w:rPr>
          <w:rFonts w:hint="eastAsia" w:ascii="黑体" w:hAnsi="黑体" w:eastAsia="黑体" w:cs="黑体"/>
          <w:b w:val="0"/>
          <w:bCs/>
          <w:sz w:val="30"/>
          <w:szCs w:val="30"/>
          <w:lang w:val="en-US" w:eastAsia="zh-CN"/>
        </w:rPr>
      </w:pPr>
      <w:bookmarkStart w:id="12" w:name="_Toc27369"/>
      <w:r>
        <w:rPr>
          <w:rFonts w:hint="eastAsia" w:ascii="黑体" w:hAnsi="黑体" w:eastAsia="黑体" w:cs="黑体"/>
          <w:b w:val="0"/>
          <w:bCs/>
          <w:sz w:val="30"/>
          <w:szCs w:val="30"/>
          <w:lang w:val="en-US" w:eastAsia="zh-CN"/>
        </w:rPr>
        <w:t>评估事项制定过程</w:t>
      </w:r>
      <w:bookmarkEnd w:id="12"/>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《实施办法》由深圳市市场监督管理局直属单位深圳市企业注册局牵头，并由信用处等内设机构参与起草，</w:t>
      </w:r>
      <w:r>
        <w:rPr>
          <w:rFonts w:hint="default" w:ascii="仿宋" w:hAnsi="仿宋" w:eastAsia="仿宋" w:cs="仿宋"/>
          <w:b w:val="0"/>
          <w:bCs w:val="0"/>
          <w:sz w:val="30"/>
          <w:szCs w:val="30"/>
          <w:lang w:val="en-US" w:eastAsia="zh-CN"/>
        </w:rPr>
        <w:t>历经内部意见征求阶段</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社会公众公开征求意见阶段</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组织听证阶段以及专家咨询论证阶段等过程。</w:t>
      </w:r>
    </w:p>
    <w:p>
      <w:pPr>
        <w:numPr>
          <w:ilvl w:val="0"/>
          <w:numId w:val="5"/>
        </w:numPr>
        <w:tabs>
          <w:tab w:val="left" w:pos="5977"/>
        </w:tabs>
        <w:ind w:firstLine="600" w:firstLineChars="200"/>
        <w:jc w:val="both"/>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内部征求意见阶段</w:t>
      </w:r>
      <w:r>
        <w:rPr>
          <w:rFonts w:hint="eastAsia" w:ascii="仿宋" w:hAnsi="仿宋" w:eastAsia="仿宋" w:cs="仿宋"/>
          <w:b w:val="0"/>
          <w:bCs w:val="0"/>
          <w:sz w:val="30"/>
          <w:szCs w:val="30"/>
          <w:lang w:val="en-US" w:eastAsia="zh-CN"/>
        </w:rPr>
        <w:t>：《实施办法》</w:t>
      </w:r>
      <w:r>
        <w:rPr>
          <w:rFonts w:hint="default" w:ascii="仿宋" w:hAnsi="仿宋" w:eastAsia="仿宋" w:cs="仿宋"/>
          <w:b w:val="0"/>
          <w:bCs w:val="0"/>
          <w:sz w:val="30"/>
          <w:szCs w:val="30"/>
          <w:lang w:val="en-US" w:eastAsia="zh-CN"/>
        </w:rPr>
        <w:t>起草过程中</w:t>
      </w:r>
      <w:r>
        <w:rPr>
          <w:rFonts w:hint="eastAsia" w:ascii="仿宋" w:hAnsi="仿宋" w:eastAsia="仿宋" w:cs="仿宋"/>
          <w:b w:val="0"/>
          <w:bCs w:val="0"/>
          <w:sz w:val="30"/>
          <w:szCs w:val="30"/>
          <w:lang w:val="en-US" w:eastAsia="zh-CN"/>
        </w:rPr>
        <w:t>，深圳市</w:t>
      </w:r>
      <w:r>
        <w:rPr>
          <w:rFonts w:hint="default" w:ascii="仿宋" w:hAnsi="仿宋" w:eastAsia="仿宋" w:cs="仿宋"/>
          <w:b w:val="0"/>
          <w:bCs w:val="0"/>
          <w:sz w:val="30"/>
          <w:szCs w:val="30"/>
          <w:lang w:val="en-US" w:eastAsia="zh-CN"/>
        </w:rPr>
        <w:t>市场监督管理</w:t>
      </w:r>
      <w:r>
        <w:rPr>
          <w:rFonts w:hint="eastAsia" w:ascii="仿宋" w:hAnsi="仿宋" w:eastAsia="仿宋" w:cs="仿宋"/>
          <w:b w:val="0"/>
          <w:bCs w:val="0"/>
          <w:sz w:val="30"/>
          <w:szCs w:val="30"/>
          <w:lang w:val="en-US" w:eastAsia="zh-CN"/>
        </w:rPr>
        <w:t>局</w:t>
      </w:r>
      <w:r>
        <w:rPr>
          <w:rFonts w:hint="default" w:ascii="仿宋" w:hAnsi="仿宋" w:eastAsia="仿宋" w:cs="仿宋"/>
          <w:b w:val="0"/>
          <w:bCs w:val="0"/>
          <w:sz w:val="30"/>
          <w:szCs w:val="30"/>
          <w:lang w:val="en-US" w:eastAsia="zh-CN"/>
        </w:rPr>
        <w:t>于</w:t>
      </w:r>
      <w:r>
        <w:rPr>
          <w:rFonts w:hint="eastAsia" w:ascii="仿宋" w:hAnsi="仿宋" w:eastAsia="仿宋" w:cs="仿宋"/>
          <w:sz w:val="30"/>
          <w:szCs w:val="30"/>
          <w:lang w:val="en-US" w:eastAsia="zh-CN"/>
        </w:rPr>
        <w:t>2021年9月30日至10月31日</w:t>
      </w:r>
      <w:r>
        <w:rPr>
          <w:rFonts w:hint="default" w:ascii="仿宋" w:hAnsi="仿宋" w:eastAsia="仿宋" w:cs="仿宋"/>
          <w:b w:val="0"/>
          <w:bCs w:val="0"/>
          <w:sz w:val="30"/>
          <w:szCs w:val="30"/>
          <w:lang w:val="en-US" w:eastAsia="zh-CN"/>
        </w:rPr>
        <w:t>征求</w:t>
      </w:r>
      <w:r>
        <w:rPr>
          <w:rFonts w:hint="eastAsia" w:ascii="仿宋" w:hAnsi="仿宋" w:eastAsia="仿宋" w:cs="仿宋"/>
          <w:b w:val="0"/>
          <w:bCs w:val="0"/>
          <w:sz w:val="30"/>
          <w:szCs w:val="30"/>
          <w:lang w:val="en-US" w:eastAsia="zh-CN"/>
        </w:rPr>
        <w:t>直属单位、内设机构、派出机构以及各基层监管所的</w:t>
      </w:r>
      <w:r>
        <w:rPr>
          <w:rFonts w:hint="default" w:ascii="仿宋" w:hAnsi="仿宋" w:eastAsia="仿宋" w:cs="仿宋"/>
          <w:b w:val="0"/>
          <w:bCs w:val="0"/>
          <w:sz w:val="30"/>
          <w:szCs w:val="30"/>
          <w:lang w:val="en-US" w:eastAsia="zh-CN"/>
        </w:rPr>
        <w:t>意见</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对征集到的意见进行了逐项研究</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并做相应的修改</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完善工作方案。</w:t>
      </w:r>
    </w:p>
    <w:p>
      <w:pPr>
        <w:numPr>
          <w:ilvl w:val="0"/>
          <w:numId w:val="5"/>
        </w:numPr>
        <w:tabs>
          <w:tab w:val="left" w:pos="5977"/>
        </w:tabs>
        <w:ind w:firstLine="600" w:firstLineChars="200"/>
        <w:jc w:val="both"/>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社会公众公开征求意见阶段</w:t>
      </w:r>
      <w:r>
        <w:rPr>
          <w:rFonts w:hint="eastAsia" w:ascii="仿宋" w:hAnsi="仿宋" w:eastAsia="仿宋" w:cs="仿宋"/>
          <w:b w:val="0"/>
          <w:bCs w:val="0"/>
          <w:sz w:val="30"/>
          <w:szCs w:val="30"/>
          <w:lang w:val="en-US" w:eastAsia="zh-CN"/>
        </w:rPr>
        <w:t>：深圳市市场监督管理局</w:t>
      </w:r>
      <w:r>
        <w:rPr>
          <w:rFonts w:hint="default" w:ascii="仿宋" w:hAnsi="仿宋" w:eastAsia="仿宋" w:cs="仿宋"/>
          <w:b w:val="0"/>
          <w:bCs w:val="0"/>
          <w:sz w:val="30"/>
          <w:szCs w:val="30"/>
          <w:lang w:val="en-US" w:eastAsia="zh-CN"/>
        </w:rPr>
        <w:t>于20</w:t>
      </w:r>
      <w:r>
        <w:rPr>
          <w:rFonts w:hint="eastAsia" w:ascii="仿宋" w:hAnsi="仿宋" w:eastAsia="仿宋" w:cs="仿宋"/>
          <w:b w:val="0"/>
          <w:bCs w:val="0"/>
          <w:sz w:val="30"/>
          <w:szCs w:val="30"/>
          <w:lang w:val="en-US" w:eastAsia="zh-CN"/>
        </w:rPr>
        <w:t>21</w:t>
      </w:r>
      <w:r>
        <w:rPr>
          <w:rFonts w:hint="default" w:ascii="仿宋" w:hAnsi="仿宋" w:eastAsia="仿宋" w:cs="仿宋"/>
          <w:b w:val="0"/>
          <w:bCs w:val="0"/>
          <w:sz w:val="30"/>
          <w:szCs w:val="30"/>
          <w:lang w:val="en-US" w:eastAsia="zh-CN"/>
        </w:rPr>
        <w:t>年</w:t>
      </w:r>
      <w:r>
        <w:rPr>
          <w:rFonts w:hint="eastAsia" w:ascii="仿宋" w:hAnsi="仿宋" w:eastAsia="仿宋" w:cs="仿宋"/>
          <w:b w:val="0"/>
          <w:bCs w:val="0"/>
          <w:sz w:val="30"/>
          <w:szCs w:val="30"/>
          <w:lang w:val="en-US" w:eastAsia="zh-CN"/>
        </w:rPr>
        <w:t>9</w:t>
      </w:r>
      <w:r>
        <w:rPr>
          <w:rFonts w:hint="default" w:ascii="仿宋" w:hAnsi="仿宋" w:eastAsia="仿宋" w:cs="仿宋"/>
          <w:b w:val="0"/>
          <w:bCs w:val="0"/>
          <w:sz w:val="30"/>
          <w:szCs w:val="30"/>
          <w:lang w:val="en-US" w:eastAsia="zh-CN"/>
        </w:rPr>
        <w:t>月</w:t>
      </w:r>
      <w:r>
        <w:rPr>
          <w:rFonts w:hint="eastAsia" w:ascii="仿宋" w:hAnsi="仿宋" w:eastAsia="仿宋" w:cs="仿宋"/>
          <w:b w:val="0"/>
          <w:bCs w:val="0"/>
          <w:sz w:val="30"/>
          <w:szCs w:val="30"/>
          <w:lang w:val="en-US" w:eastAsia="zh-CN"/>
        </w:rPr>
        <w:t>30</w:t>
      </w:r>
      <w:r>
        <w:rPr>
          <w:rFonts w:hint="default" w:ascii="仿宋" w:hAnsi="仿宋" w:eastAsia="仿宋" w:cs="仿宋"/>
          <w:b w:val="0"/>
          <w:bCs w:val="0"/>
          <w:sz w:val="30"/>
          <w:szCs w:val="30"/>
          <w:lang w:val="en-US" w:eastAsia="zh-CN"/>
        </w:rPr>
        <w:t>日至</w:t>
      </w:r>
      <w:r>
        <w:rPr>
          <w:rFonts w:hint="eastAsia" w:ascii="仿宋" w:hAnsi="仿宋" w:eastAsia="仿宋" w:cs="仿宋"/>
          <w:b w:val="0"/>
          <w:bCs w:val="0"/>
          <w:sz w:val="30"/>
          <w:szCs w:val="30"/>
          <w:lang w:val="en-US" w:eastAsia="zh-CN"/>
        </w:rPr>
        <w:t>10</w:t>
      </w:r>
      <w:r>
        <w:rPr>
          <w:rFonts w:hint="default" w:ascii="仿宋" w:hAnsi="仿宋" w:eastAsia="仿宋" w:cs="仿宋"/>
          <w:b w:val="0"/>
          <w:bCs w:val="0"/>
          <w:sz w:val="30"/>
          <w:szCs w:val="30"/>
          <w:lang w:val="en-US" w:eastAsia="zh-CN"/>
        </w:rPr>
        <w:t>月</w:t>
      </w:r>
      <w:r>
        <w:rPr>
          <w:rFonts w:hint="eastAsia" w:ascii="仿宋" w:hAnsi="仿宋" w:eastAsia="仿宋" w:cs="仿宋"/>
          <w:b w:val="0"/>
          <w:bCs w:val="0"/>
          <w:sz w:val="30"/>
          <w:szCs w:val="30"/>
          <w:lang w:val="en-US" w:eastAsia="zh-CN"/>
        </w:rPr>
        <w:t>31</w:t>
      </w:r>
      <w:r>
        <w:rPr>
          <w:rFonts w:hint="default" w:ascii="仿宋" w:hAnsi="仿宋" w:eastAsia="仿宋" w:cs="仿宋"/>
          <w:b w:val="0"/>
          <w:bCs w:val="0"/>
          <w:sz w:val="30"/>
          <w:szCs w:val="30"/>
          <w:lang w:val="en-US" w:eastAsia="zh-CN"/>
        </w:rPr>
        <w:t>日通过官网</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微信公众号</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电子邮件等方式</w:t>
      </w:r>
      <w:r>
        <w:rPr>
          <w:rFonts w:hint="eastAsia" w:ascii="仿宋" w:hAnsi="仿宋" w:eastAsia="仿宋" w:cs="仿宋"/>
          <w:b w:val="0"/>
          <w:bCs w:val="0"/>
          <w:sz w:val="30"/>
          <w:szCs w:val="30"/>
          <w:lang w:val="en-US" w:eastAsia="zh-CN"/>
        </w:rPr>
        <w:t>公开</w:t>
      </w:r>
      <w:r>
        <w:rPr>
          <w:rFonts w:hint="default" w:ascii="仿宋" w:hAnsi="仿宋" w:eastAsia="仿宋" w:cs="仿宋"/>
          <w:b w:val="0"/>
          <w:bCs w:val="0"/>
          <w:sz w:val="30"/>
          <w:szCs w:val="30"/>
          <w:lang w:val="en-US" w:eastAsia="zh-CN"/>
        </w:rPr>
        <w:t>向社会各界公开征求意见</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在此期间采集各类意见</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经认真研究讨论</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已对各方意见作出相应的采纳及说明。</w:t>
      </w:r>
    </w:p>
    <w:p>
      <w:pPr>
        <w:numPr>
          <w:ilvl w:val="0"/>
          <w:numId w:val="5"/>
        </w:numPr>
        <w:tabs>
          <w:tab w:val="left" w:pos="5977"/>
        </w:tabs>
        <w:ind w:left="0" w:leftChars="0" w:firstLine="600" w:firstLineChars="200"/>
        <w:jc w:val="both"/>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组织听证阶段</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 xml:space="preserve">深圳市市场监督管理局于 </w:t>
      </w:r>
      <w:r>
        <w:rPr>
          <w:rFonts w:hint="eastAsia" w:ascii="仿宋" w:hAnsi="仿宋" w:eastAsia="仿宋" w:cs="仿宋"/>
          <w:b w:val="0"/>
          <w:bCs w:val="0"/>
          <w:sz w:val="30"/>
          <w:szCs w:val="30"/>
          <w:lang w:val="en-US" w:eastAsia="zh-CN"/>
        </w:rPr>
        <w:t>2021</w:t>
      </w:r>
      <w:r>
        <w:rPr>
          <w:rFonts w:hint="default" w:ascii="仿宋" w:hAnsi="仿宋" w:eastAsia="仿宋" w:cs="仿宋"/>
          <w:b w:val="0"/>
          <w:bCs w:val="0"/>
          <w:sz w:val="30"/>
          <w:szCs w:val="30"/>
          <w:lang w:val="en-US" w:eastAsia="zh-CN"/>
        </w:rPr>
        <w:t>年</w:t>
      </w:r>
      <w:r>
        <w:rPr>
          <w:rFonts w:hint="eastAsia" w:ascii="仿宋" w:hAnsi="仿宋" w:eastAsia="仿宋" w:cs="仿宋"/>
          <w:b w:val="0"/>
          <w:bCs w:val="0"/>
          <w:sz w:val="30"/>
          <w:szCs w:val="30"/>
          <w:lang w:val="en-US" w:eastAsia="zh-CN"/>
        </w:rPr>
        <w:t>10</w:t>
      </w:r>
      <w:r>
        <w:rPr>
          <w:rFonts w:hint="default" w:ascii="仿宋" w:hAnsi="仿宋" w:eastAsia="仿宋" w:cs="仿宋"/>
          <w:b w:val="0"/>
          <w:bCs w:val="0"/>
          <w:sz w:val="30"/>
          <w:szCs w:val="30"/>
          <w:lang w:val="en-US" w:eastAsia="zh-CN"/>
        </w:rPr>
        <w:t>月</w:t>
      </w:r>
      <w:r>
        <w:rPr>
          <w:rFonts w:hint="eastAsia" w:ascii="仿宋" w:hAnsi="仿宋" w:eastAsia="仿宋" w:cs="仿宋"/>
          <w:b w:val="0"/>
          <w:bCs w:val="0"/>
          <w:sz w:val="30"/>
          <w:szCs w:val="30"/>
          <w:lang w:val="en-US" w:eastAsia="zh-CN"/>
        </w:rPr>
        <w:t>26</w:t>
      </w:r>
      <w:r>
        <w:rPr>
          <w:rFonts w:hint="default" w:ascii="仿宋" w:hAnsi="仿宋" w:eastAsia="仿宋" w:cs="仿宋"/>
          <w:b w:val="0"/>
          <w:bCs w:val="0"/>
          <w:sz w:val="30"/>
          <w:szCs w:val="30"/>
          <w:lang w:val="en-US" w:eastAsia="zh-CN"/>
        </w:rPr>
        <w:t>日</w:t>
      </w:r>
      <w:r>
        <w:rPr>
          <w:rFonts w:hint="eastAsia" w:ascii="仿宋" w:hAnsi="仿宋" w:eastAsia="仿宋" w:cs="仿宋"/>
          <w:b w:val="0"/>
          <w:bCs w:val="0"/>
          <w:sz w:val="30"/>
          <w:szCs w:val="30"/>
          <w:lang w:val="en-US" w:eastAsia="zh-CN"/>
        </w:rPr>
        <w:t>在官方网站</w:t>
      </w:r>
      <w:r>
        <w:rPr>
          <w:rFonts w:hint="default" w:ascii="仿宋" w:hAnsi="仿宋" w:eastAsia="仿宋" w:cs="仿宋"/>
          <w:b w:val="0"/>
          <w:bCs w:val="0"/>
          <w:sz w:val="30"/>
          <w:szCs w:val="30"/>
          <w:lang w:val="en-US" w:eastAsia="zh-CN"/>
        </w:rPr>
        <w:t>发布</w:t>
      </w:r>
      <w:r>
        <w:rPr>
          <w:rFonts w:hint="eastAsia" w:ascii="仿宋" w:hAnsi="仿宋" w:eastAsia="仿宋" w:cs="仿宋"/>
          <w:b w:val="0"/>
          <w:bCs w:val="0"/>
          <w:sz w:val="30"/>
          <w:szCs w:val="30"/>
          <w:lang w:val="en-US" w:eastAsia="zh-CN"/>
        </w:rPr>
        <w:t>《实施办法》的</w:t>
      </w:r>
      <w:r>
        <w:rPr>
          <w:rFonts w:hint="default" w:ascii="仿宋" w:hAnsi="仿宋" w:eastAsia="仿宋" w:cs="仿宋"/>
          <w:b w:val="0"/>
          <w:bCs w:val="0"/>
          <w:sz w:val="30"/>
          <w:szCs w:val="30"/>
          <w:lang w:val="en-US" w:eastAsia="zh-CN"/>
        </w:rPr>
        <w:t>听证会公告</w:t>
      </w:r>
      <w:r>
        <w:rPr>
          <w:rFonts w:hint="eastAsia" w:ascii="仿宋" w:hAnsi="仿宋" w:eastAsia="仿宋" w:cs="仿宋"/>
          <w:b w:val="0"/>
          <w:bCs w:val="0"/>
          <w:sz w:val="30"/>
          <w:szCs w:val="30"/>
          <w:lang w:val="en-US" w:eastAsia="zh-CN"/>
        </w:rPr>
        <w:t>，将听证议题，听证参加人产生方式、报名条件及方式等内容进行公示。通过</w:t>
      </w:r>
      <w:r>
        <w:rPr>
          <w:rFonts w:hint="default" w:ascii="仿宋" w:hAnsi="仿宋" w:eastAsia="仿宋" w:cs="仿宋"/>
          <w:b w:val="0"/>
          <w:bCs w:val="0"/>
          <w:sz w:val="30"/>
          <w:szCs w:val="30"/>
          <w:lang w:val="en-US" w:eastAsia="zh-CN"/>
        </w:rPr>
        <w:t>对申请参加听证会的社会公众按照广泛性和代表性的原则</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筛选确定了</w:t>
      </w:r>
      <w:r>
        <w:rPr>
          <w:rFonts w:hint="eastAsia" w:ascii="仿宋" w:hAnsi="仿宋" w:eastAsia="仿宋" w:cs="仿宋"/>
          <w:b w:val="0"/>
          <w:bCs w:val="0"/>
          <w:sz w:val="30"/>
          <w:szCs w:val="30"/>
          <w:lang w:val="en-US" w:eastAsia="zh-CN"/>
        </w:rPr>
        <w:t>9</w:t>
      </w:r>
      <w:r>
        <w:rPr>
          <w:rFonts w:hint="default" w:ascii="仿宋" w:hAnsi="仿宋" w:eastAsia="仿宋" w:cs="仿宋"/>
          <w:b w:val="0"/>
          <w:bCs w:val="0"/>
          <w:sz w:val="30"/>
          <w:szCs w:val="30"/>
          <w:lang w:val="en-US" w:eastAsia="zh-CN"/>
        </w:rPr>
        <w:t>名来自不同行业</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领域的听证参加人</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20</w:t>
      </w:r>
      <w:r>
        <w:rPr>
          <w:rFonts w:hint="eastAsia" w:ascii="仿宋" w:hAnsi="仿宋" w:eastAsia="仿宋" w:cs="仿宋"/>
          <w:b w:val="0"/>
          <w:bCs w:val="0"/>
          <w:sz w:val="30"/>
          <w:szCs w:val="30"/>
          <w:lang w:val="en-US" w:eastAsia="zh-CN"/>
        </w:rPr>
        <w:t>21</w:t>
      </w:r>
      <w:r>
        <w:rPr>
          <w:rFonts w:hint="default" w:ascii="仿宋" w:hAnsi="仿宋" w:eastAsia="仿宋" w:cs="仿宋"/>
          <w:b w:val="0"/>
          <w:bCs w:val="0"/>
          <w:sz w:val="30"/>
          <w:szCs w:val="30"/>
          <w:lang w:val="en-US" w:eastAsia="zh-CN"/>
        </w:rPr>
        <w:t>年</w:t>
      </w:r>
      <w:r>
        <w:rPr>
          <w:rFonts w:hint="eastAsia" w:ascii="仿宋" w:hAnsi="仿宋" w:eastAsia="仿宋" w:cs="仿宋"/>
          <w:b w:val="0"/>
          <w:bCs w:val="0"/>
          <w:sz w:val="30"/>
          <w:szCs w:val="30"/>
          <w:lang w:val="en-US" w:eastAsia="zh-CN"/>
        </w:rPr>
        <w:t>11</w:t>
      </w:r>
      <w:r>
        <w:rPr>
          <w:rFonts w:hint="default" w:ascii="仿宋" w:hAnsi="仿宋" w:eastAsia="仿宋" w:cs="仿宋"/>
          <w:b w:val="0"/>
          <w:bCs w:val="0"/>
          <w:sz w:val="30"/>
          <w:szCs w:val="30"/>
          <w:lang w:val="en-US" w:eastAsia="zh-CN"/>
        </w:rPr>
        <w:t>月</w:t>
      </w:r>
      <w:r>
        <w:rPr>
          <w:rFonts w:hint="eastAsia" w:ascii="仿宋" w:hAnsi="仿宋" w:eastAsia="仿宋" w:cs="仿宋"/>
          <w:b w:val="0"/>
          <w:bCs w:val="0"/>
          <w:sz w:val="30"/>
          <w:szCs w:val="30"/>
          <w:lang w:val="en-US" w:eastAsia="zh-CN"/>
        </w:rPr>
        <w:t>4</w:t>
      </w:r>
      <w:r>
        <w:rPr>
          <w:rFonts w:hint="default" w:ascii="仿宋" w:hAnsi="仿宋" w:eastAsia="仿宋" w:cs="仿宋"/>
          <w:b w:val="0"/>
          <w:bCs w:val="0"/>
          <w:sz w:val="30"/>
          <w:szCs w:val="30"/>
          <w:lang w:val="en-US" w:eastAsia="zh-CN"/>
        </w:rPr>
        <w:t>日发布听证会参加人名单的公告</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20</w:t>
      </w:r>
      <w:r>
        <w:rPr>
          <w:rFonts w:hint="eastAsia" w:ascii="仿宋" w:hAnsi="仿宋" w:eastAsia="仿宋" w:cs="仿宋"/>
          <w:b w:val="0"/>
          <w:bCs w:val="0"/>
          <w:sz w:val="30"/>
          <w:szCs w:val="30"/>
          <w:lang w:val="en-US" w:eastAsia="zh-CN"/>
        </w:rPr>
        <w:t>21</w:t>
      </w:r>
      <w:r>
        <w:rPr>
          <w:rFonts w:hint="default" w:ascii="仿宋" w:hAnsi="仿宋" w:eastAsia="仿宋" w:cs="仿宋"/>
          <w:b w:val="0"/>
          <w:bCs w:val="0"/>
          <w:sz w:val="30"/>
          <w:szCs w:val="30"/>
          <w:lang w:val="en-US" w:eastAsia="zh-CN"/>
        </w:rPr>
        <w:t>年</w:t>
      </w:r>
      <w:r>
        <w:rPr>
          <w:rFonts w:hint="eastAsia" w:ascii="仿宋" w:hAnsi="仿宋" w:eastAsia="仿宋" w:cs="仿宋"/>
          <w:b w:val="0"/>
          <w:bCs w:val="0"/>
          <w:sz w:val="30"/>
          <w:szCs w:val="30"/>
          <w:lang w:val="en-US" w:eastAsia="zh-CN"/>
        </w:rPr>
        <w:t>11</w:t>
      </w:r>
      <w:r>
        <w:rPr>
          <w:rFonts w:hint="default" w:ascii="仿宋" w:hAnsi="仿宋" w:eastAsia="仿宋" w:cs="仿宋"/>
          <w:b w:val="0"/>
          <w:bCs w:val="0"/>
          <w:sz w:val="30"/>
          <w:szCs w:val="30"/>
          <w:lang w:val="en-US" w:eastAsia="zh-CN"/>
        </w:rPr>
        <w:t>月</w:t>
      </w:r>
      <w:r>
        <w:rPr>
          <w:rFonts w:hint="eastAsia" w:ascii="仿宋" w:hAnsi="仿宋" w:eastAsia="仿宋" w:cs="仿宋"/>
          <w:b w:val="0"/>
          <w:bCs w:val="0"/>
          <w:sz w:val="30"/>
          <w:szCs w:val="30"/>
          <w:lang w:val="en-US" w:eastAsia="zh-CN"/>
        </w:rPr>
        <w:t>25</w:t>
      </w:r>
      <w:r>
        <w:rPr>
          <w:rFonts w:hint="default" w:ascii="仿宋" w:hAnsi="仿宋" w:eastAsia="仿宋" w:cs="仿宋"/>
          <w:b w:val="0"/>
          <w:bCs w:val="0"/>
          <w:sz w:val="30"/>
          <w:szCs w:val="30"/>
          <w:lang w:val="en-US" w:eastAsia="zh-CN"/>
        </w:rPr>
        <w:t>日举行听证会。</w:t>
      </w:r>
      <w:r>
        <w:rPr>
          <w:rFonts w:hint="eastAsia" w:ascii="仿宋" w:hAnsi="仿宋" w:eastAsia="仿宋" w:cs="仿宋"/>
          <w:b w:val="0"/>
          <w:bCs w:val="0"/>
          <w:sz w:val="30"/>
          <w:szCs w:val="30"/>
          <w:lang w:val="en-US" w:eastAsia="zh-CN"/>
        </w:rPr>
        <w:t>就听证参加人提出的意见或者修订建议，</w:t>
      </w:r>
      <w:r>
        <w:rPr>
          <w:rFonts w:hint="default" w:ascii="仿宋" w:hAnsi="仿宋" w:eastAsia="仿宋" w:cs="仿宋"/>
          <w:b w:val="0"/>
          <w:bCs w:val="0"/>
          <w:sz w:val="30"/>
          <w:szCs w:val="30"/>
          <w:lang w:val="en-US" w:eastAsia="zh-CN"/>
        </w:rPr>
        <w:t>深圳</w:t>
      </w:r>
      <w:r>
        <w:rPr>
          <w:rFonts w:hint="eastAsia" w:ascii="仿宋" w:hAnsi="仿宋" w:eastAsia="仿宋" w:cs="仿宋"/>
          <w:b w:val="0"/>
          <w:bCs w:val="0"/>
          <w:sz w:val="30"/>
          <w:szCs w:val="30"/>
          <w:lang w:val="en-US" w:eastAsia="zh-CN"/>
        </w:rPr>
        <w:t>市市场监督管理局</w:t>
      </w:r>
      <w:r>
        <w:rPr>
          <w:rFonts w:hint="default" w:ascii="仿宋" w:hAnsi="仿宋" w:eastAsia="仿宋" w:cs="仿宋"/>
          <w:b w:val="0"/>
          <w:bCs w:val="0"/>
          <w:sz w:val="30"/>
          <w:szCs w:val="30"/>
          <w:lang w:val="en-US" w:eastAsia="zh-CN"/>
        </w:rPr>
        <w:t>组织</w:t>
      </w:r>
      <w:r>
        <w:rPr>
          <w:rFonts w:hint="eastAsia" w:ascii="仿宋" w:hAnsi="仿宋" w:eastAsia="仿宋" w:cs="仿宋"/>
          <w:b w:val="0"/>
          <w:bCs w:val="0"/>
          <w:sz w:val="30"/>
          <w:szCs w:val="30"/>
          <w:lang w:val="en-US" w:eastAsia="zh-CN"/>
        </w:rPr>
        <w:t>起草</w:t>
      </w:r>
      <w:r>
        <w:rPr>
          <w:rFonts w:hint="default" w:ascii="仿宋" w:hAnsi="仿宋" w:eastAsia="仿宋" w:cs="仿宋"/>
          <w:b w:val="0"/>
          <w:bCs w:val="0"/>
          <w:sz w:val="30"/>
          <w:szCs w:val="30"/>
          <w:lang w:val="en-US" w:eastAsia="zh-CN"/>
        </w:rPr>
        <w:t>单位进行研究论证</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已对各方意见作出相应的采纳及说明。</w:t>
      </w:r>
    </w:p>
    <w:p>
      <w:pPr>
        <w:numPr>
          <w:ilvl w:val="0"/>
          <w:numId w:val="5"/>
        </w:numPr>
        <w:tabs>
          <w:tab w:val="left" w:pos="5977"/>
        </w:tabs>
        <w:ind w:firstLine="600" w:firstLineChars="200"/>
        <w:jc w:val="both"/>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专家咨询论证阶段</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highlight w:val="none"/>
          <w:lang w:val="en-US" w:eastAsia="zh-CN"/>
        </w:rPr>
        <w:t>2021年11月10日至12日</w:t>
      </w:r>
      <w:r>
        <w:rPr>
          <w:rFonts w:hint="eastAsia" w:ascii="仿宋" w:hAnsi="仿宋" w:eastAsia="仿宋" w:cs="仿宋"/>
          <w:b w:val="0"/>
          <w:bCs w:val="0"/>
          <w:sz w:val="30"/>
          <w:szCs w:val="30"/>
          <w:lang w:val="en-US" w:eastAsia="zh-CN"/>
        </w:rPr>
        <w:t>，深圳市市场监督管理局牵头向7名专家发出邀请函，邀请专家出具书面专家论证意见，7名专家在2021年11月26日前邮寄了书面专家论证意见，在此基础上</w:t>
      </w:r>
      <w:r>
        <w:rPr>
          <w:rFonts w:hint="default" w:ascii="仿宋" w:hAnsi="仿宋" w:eastAsia="仿宋" w:cs="仿宋"/>
          <w:b w:val="0"/>
          <w:bCs w:val="0"/>
          <w:sz w:val="30"/>
          <w:szCs w:val="30"/>
          <w:lang w:val="en-US" w:eastAsia="zh-CN"/>
        </w:rPr>
        <w:t>形成了专家咨询论证报告</w:t>
      </w:r>
      <w:r>
        <w:rPr>
          <w:rFonts w:hint="eastAsia" w:ascii="仿宋" w:hAnsi="仿宋" w:eastAsia="仿宋" w:cs="仿宋"/>
          <w:b w:val="0"/>
          <w:bCs w:val="0"/>
          <w:sz w:val="30"/>
          <w:szCs w:val="30"/>
          <w:lang w:val="en-US" w:eastAsia="zh-CN"/>
        </w:rPr>
        <w:t>，深圳市市场监督管理局组织起草单位就专家意见进行研讨，对专家意见进行吸收、采纳</w:t>
      </w:r>
      <w:r>
        <w:rPr>
          <w:rFonts w:hint="default" w:ascii="仿宋" w:hAnsi="仿宋" w:eastAsia="仿宋" w:cs="仿宋"/>
          <w:b w:val="0"/>
          <w:bCs w:val="0"/>
          <w:sz w:val="30"/>
          <w:szCs w:val="30"/>
          <w:lang w:val="en-US" w:eastAsia="zh-CN"/>
        </w:rPr>
        <w:t>。</w:t>
      </w:r>
    </w:p>
    <w:p>
      <w:pPr>
        <w:pStyle w:val="6"/>
        <w:keepNext/>
        <w:keepLines/>
        <w:pageBreakBefore w:val="0"/>
        <w:widowControl w:val="0"/>
        <w:numPr>
          <w:ilvl w:val="0"/>
          <w:numId w:val="4"/>
        </w:numPr>
        <w:kinsoku/>
        <w:wordWrap/>
        <w:overflowPunct/>
        <w:topLinePunct w:val="0"/>
        <w:autoSpaceDE/>
        <w:autoSpaceDN/>
        <w:bidi w:val="0"/>
        <w:adjustRightInd/>
        <w:snapToGrid/>
        <w:spacing w:before="0" w:beforeLines="0" w:after="0" w:afterLines="0" w:line="240" w:lineRule="auto"/>
        <w:ind w:left="0" w:leftChars="0" w:firstLine="600" w:firstLineChars="200"/>
        <w:textAlignment w:val="auto"/>
        <w:rPr>
          <w:rFonts w:hint="eastAsia" w:ascii="黑体" w:hAnsi="黑体" w:eastAsia="黑体" w:cs="黑体"/>
          <w:b w:val="0"/>
          <w:bCs/>
          <w:sz w:val="30"/>
          <w:szCs w:val="30"/>
          <w:lang w:val="en-US" w:eastAsia="zh-CN"/>
        </w:rPr>
      </w:pPr>
      <w:bookmarkStart w:id="13" w:name="_Toc13795"/>
      <w:r>
        <w:rPr>
          <w:rFonts w:hint="eastAsia" w:ascii="黑体" w:hAnsi="黑体" w:eastAsia="黑体" w:cs="黑体"/>
          <w:b w:val="0"/>
          <w:bCs/>
          <w:sz w:val="30"/>
          <w:szCs w:val="30"/>
          <w:lang w:val="en-US" w:eastAsia="zh-CN"/>
        </w:rPr>
        <w:t>评估事项主要内容</w:t>
      </w:r>
      <w:bookmarkEnd w:id="13"/>
    </w:p>
    <w:p>
      <w:pPr>
        <w:keepNext w:val="0"/>
        <w:keepLines w:val="0"/>
        <w:pageBreakBefore w:val="0"/>
        <w:widowControl w:val="0"/>
        <w:kinsoku/>
        <w:wordWrap/>
        <w:overflowPunct/>
        <w:topLinePunct w:val="0"/>
        <w:autoSpaceDE/>
        <w:autoSpaceDN/>
        <w:bidi w:val="0"/>
        <w:adjustRightInd/>
        <w:snapToGrid w:val="0"/>
        <w:spacing w:line="600" w:lineRule="exact"/>
        <w:ind w:firstLine="600" w:firstLineChars="200"/>
        <w:textAlignment w:val="auto"/>
        <w:outlineLvl w:val="0"/>
        <w:rPr>
          <w:rFonts w:hint="eastAsia" w:ascii="仿宋" w:hAnsi="仿宋" w:eastAsia="仿宋" w:cs="仿宋"/>
          <w:b w:val="0"/>
          <w:bCs/>
          <w:color w:val="000000"/>
          <w:sz w:val="30"/>
          <w:szCs w:val="30"/>
          <w:lang w:bidi="ar"/>
        </w:rPr>
      </w:pPr>
      <w:bookmarkStart w:id="14" w:name="_Toc8604"/>
      <w:bookmarkStart w:id="15" w:name="_Toc4705"/>
      <w:bookmarkStart w:id="16" w:name="_Toc11050"/>
      <w:bookmarkStart w:id="17" w:name="_Toc27367"/>
      <w:r>
        <w:rPr>
          <w:rFonts w:hint="eastAsia" w:ascii="仿宋" w:hAnsi="仿宋" w:eastAsia="仿宋" w:cs="仿宋"/>
          <w:b w:val="0"/>
          <w:bCs/>
          <w:color w:val="000000"/>
          <w:sz w:val="30"/>
          <w:szCs w:val="30"/>
          <w:lang w:bidi="ar"/>
        </w:rPr>
        <w:t>《</w:t>
      </w:r>
      <w:r>
        <w:rPr>
          <w:rFonts w:hint="eastAsia" w:ascii="仿宋" w:hAnsi="仿宋" w:eastAsia="仿宋" w:cs="仿宋"/>
          <w:b w:val="0"/>
          <w:bCs/>
          <w:color w:val="000000"/>
          <w:sz w:val="30"/>
          <w:szCs w:val="30"/>
          <w:lang w:val="en-US" w:eastAsia="zh-CN" w:bidi="ar"/>
        </w:rPr>
        <w:t>实施</w:t>
      </w:r>
      <w:r>
        <w:rPr>
          <w:rFonts w:hint="eastAsia" w:ascii="仿宋" w:hAnsi="仿宋" w:eastAsia="仿宋" w:cs="仿宋"/>
          <w:b w:val="0"/>
          <w:bCs/>
          <w:color w:val="000000"/>
          <w:sz w:val="30"/>
          <w:szCs w:val="30"/>
          <w:lang w:eastAsia="zh-CN" w:bidi="ar"/>
        </w:rPr>
        <w:t>办法</w:t>
      </w:r>
      <w:r>
        <w:rPr>
          <w:rFonts w:hint="eastAsia" w:ascii="仿宋" w:hAnsi="仿宋" w:eastAsia="仿宋" w:cs="仿宋"/>
          <w:b w:val="0"/>
          <w:bCs/>
          <w:color w:val="000000"/>
          <w:sz w:val="30"/>
          <w:szCs w:val="30"/>
          <w:lang w:bidi="ar"/>
        </w:rPr>
        <w:t>》</w:t>
      </w:r>
      <w:r>
        <w:rPr>
          <w:rFonts w:hint="eastAsia" w:ascii="仿宋" w:hAnsi="仿宋" w:eastAsia="仿宋" w:cs="仿宋"/>
          <w:b w:val="0"/>
          <w:bCs/>
          <w:color w:val="000000"/>
          <w:sz w:val="30"/>
          <w:szCs w:val="30"/>
          <w:lang w:val="en-US" w:eastAsia="zh-CN" w:bidi="ar"/>
        </w:rPr>
        <w:t>内容由六个部分组成，一共十六条</w:t>
      </w:r>
      <w:r>
        <w:rPr>
          <w:rFonts w:hint="eastAsia" w:ascii="仿宋" w:hAnsi="仿宋" w:eastAsia="仿宋" w:cs="仿宋"/>
          <w:b w:val="0"/>
          <w:bCs/>
          <w:color w:val="000000"/>
          <w:sz w:val="30"/>
          <w:szCs w:val="30"/>
          <w:lang w:bidi="ar"/>
        </w:rPr>
        <w:t>。</w:t>
      </w:r>
      <w:bookmarkEnd w:id="14"/>
      <w:bookmarkEnd w:id="15"/>
      <w:bookmarkEnd w:id="16"/>
      <w:bookmarkEnd w:id="17"/>
    </w:p>
    <w:p>
      <w:pPr>
        <w:keepNext w:val="0"/>
        <w:keepLines w:val="0"/>
        <w:pageBreakBefore w:val="0"/>
        <w:widowControl w:val="0"/>
        <w:numPr>
          <w:ilvl w:val="0"/>
          <w:numId w:val="6"/>
        </w:numPr>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第一部分为第一条至第二条，明确了制定《实施办法》的目的和依据、歇业制度的定义；</w:t>
      </w:r>
    </w:p>
    <w:p>
      <w:pPr>
        <w:keepNext w:val="0"/>
        <w:keepLines w:val="0"/>
        <w:pageBreakBefore w:val="0"/>
        <w:widowControl w:val="0"/>
        <w:numPr>
          <w:ilvl w:val="0"/>
          <w:numId w:val="6"/>
        </w:numPr>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第二部分为第三条至第六条，明确了歇业备案的办理部门，商事主体申办歇业备案的条件以及申请与公示及需要提交的材料；</w:t>
      </w:r>
    </w:p>
    <w:p>
      <w:pPr>
        <w:keepNext w:val="0"/>
        <w:keepLines w:val="0"/>
        <w:pageBreakBefore w:val="0"/>
        <w:widowControl w:val="0"/>
        <w:numPr>
          <w:ilvl w:val="0"/>
          <w:numId w:val="6"/>
        </w:numPr>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第三部分为第七条至第十一条，明确了歇业期间的相关规定，包括登记事项办理、法律后果、法律文书送达及相关的信用承诺；</w:t>
      </w:r>
    </w:p>
    <w:p>
      <w:pPr>
        <w:keepNext w:val="0"/>
        <w:keepLines w:val="0"/>
        <w:pageBreakBefore w:val="0"/>
        <w:widowControl w:val="0"/>
        <w:numPr>
          <w:ilvl w:val="0"/>
          <w:numId w:val="6"/>
        </w:numPr>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第四部分为第十二条至第十三条，明确了歇业终止、歇业时间及状态恢复；</w:t>
      </w:r>
    </w:p>
    <w:p>
      <w:pPr>
        <w:keepNext w:val="0"/>
        <w:keepLines w:val="0"/>
        <w:pageBreakBefore w:val="0"/>
        <w:widowControl w:val="0"/>
        <w:numPr>
          <w:ilvl w:val="0"/>
          <w:numId w:val="6"/>
        </w:numPr>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第五部分为第十四条，明确了对歇业商事主体的监管；</w:t>
      </w:r>
    </w:p>
    <w:p>
      <w:pPr>
        <w:keepNext w:val="0"/>
        <w:keepLines w:val="0"/>
        <w:pageBreakBefore w:val="0"/>
        <w:widowControl w:val="0"/>
        <w:numPr>
          <w:ilvl w:val="0"/>
          <w:numId w:val="6"/>
        </w:numPr>
        <w:kinsoku/>
        <w:wordWrap/>
        <w:overflowPunct/>
        <w:topLinePunct w:val="0"/>
        <w:autoSpaceDE/>
        <w:autoSpaceDN/>
        <w:bidi w:val="0"/>
        <w:adjustRightInd/>
        <w:spacing w:line="240" w:lineRule="auto"/>
        <w:ind w:firstLine="600" w:firstLineChars="200"/>
        <w:textAlignment w:val="auto"/>
        <w:rPr>
          <w:rFonts w:hint="eastAsia" w:ascii="仿宋" w:hAnsi="仿宋" w:eastAsia="仿宋" w:cs="仿宋"/>
          <w:b w:val="0"/>
          <w:bCs/>
          <w:snapToGrid w:val="0"/>
          <w:kern w:val="0"/>
          <w:sz w:val="30"/>
          <w:szCs w:val="30"/>
          <w:lang w:val="en-US" w:eastAsia="zh-CN" w:bidi="ar-SA"/>
        </w:rPr>
      </w:pPr>
      <w:r>
        <w:rPr>
          <w:rFonts w:hint="eastAsia" w:ascii="仿宋" w:hAnsi="仿宋" w:eastAsia="仿宋" w:cs="仿宋"/>
          <w:b w:val="0"/>
          <w:bCs/>
          <w:sz w:val="30"/>
          <w:szCs w:val="30"/>
          <w:lang w:val="en-US" w:eastAsia="zh-CN"/>
        </w:rPr>
        <w:t>第六部分为第十五条至第十六条，明确了《实施办法》的解释主体以及施行时间。</w:t>
      </w:r>
    </w:p>
    <w:p>
      <w:pPr>
        <w:pStyle w:val="19"/>
        <w:ind w:left="0" w:leftChars="0" w:firstLine="0" w:firstLineChars="0"/>
        <w:rPr>
          <w:rFonts w:hint="eastAsia"/>
          <w:sz w:val="30"/>
          <w:szCs w:val="30"/>
          <w:lang w:val="en-US" w:eastAsia="zh-CN"/>
        </w:rPr>
      </w:pPr>
    </w:p>
    <w:p>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600" w:firstLineChars="200"/>
        <w:textAlignment w:val="auto"/>
        <w:rPr>
          <w:rFonts w:hint="default" w:ascii="黑体" w:hAnsi="黑体" w:eastAsia="黑体" w:cs="黑体"/>
          <w:b w:val="0"/>
          <w:bCs w:val="0"/>
          <w:sz w:val="30"/>
          <w:szCs w:val="30"/>
          <w:lang w:val="en-US" w:eastAsia="zh-CN"/>
        </w:rPr>
      </w:pPr>
      <w:bookmarkStart w:id="18" w:name="_Toc27748"/>
      <w:r>
        <w:rPr>
          <w:rFonts w:hint="eastAsia" w:ascii="黑体" w:hAnsi="黑体" w:eastAsia="黑体" w:cs="黑体"/>
          <w:b w:val="0"/>
          <w:bCs w:val="0"/>
          <w:sz w:val="30"/>
          <w:szCs w:val="30"/>
          <w:lang w:val="en-US" w:eastAsia="zh-CN"/>
        </w:rPr>
        <w:t>评估目的</w:t>
      </w:r>
      <w:bookmarkEnd w:id="18"/>
    </w:p>
    <w:p>
      <w:pPr>
        <w:numPr>
          <w:ilvl w:val="0"/>
          <w:numId w:val="0"/>
        </w:numPr>
        <w:tabs>
          <w:tab w:val="left" w:pos="5977"/>
        </w:tabs>
        <w:ind w:firstLine="642"/>
        <w:jc w:val="both"/>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规范</w:t>
      </w:r>
      <w:r>
        <w:rPr>
          <w:rFonts w:hint="eastAsia" w:ascii="仿宋" w:hAnsi="仿宋" w:eastAsia="仿宋" w:cs="仿宋"/>
          <w:b w:val="0"/>
          <w:bCs w:val="0"/>
          <w:sz w:val="30"/>
          <w:szCs w:val="30"/>
          <w:lang w:val="en-US" w:eastAsia="zh-CN"/>
        </w:rPr>
        <w:t>《实施办法》</w:t>
      </w:r>
      <w:r>
        <w:rPr>
          <w:rFonts w:hint="default" w:ascii="仿宋" w:hAnsi="仿宋" w:eastAsia="仿宋" w:cs="仿宋"/>
          <w:b w:val="0"/>
          <w:bCs w:val="0"/>
          <w:sz w:val="30"/>
          <w:szCs w:val="30"/>
          <w:lang w:val="en-US" w:eastAsia="zh-CN"/>
        </w:rPr>
        <w:t>的制定程序</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推进</w:t>
      </w:r>
      <w:r>
        <w:rPr>
          <w:rFonts w:hint="eastAsia" w:ascii="仿宋" w:hAnsi="仿宋" w:eastAsia="仿宋" w:cs="仿宋"/>
          <w:b w:val="0"/>
          <w:bCs w:val="0"/>
          <w:sz w:val="30"/>
          <w:szCs w:val="30"/>
          <w:lang w:val="en-US" w:eastAsia="zh-CN"/>
        </w:rPr>
        <w:t>《实施办法》制定的</w:t>
      </w:r>
      <w:r>
        <w:rPr>
          <w:rFonts w:hint="default" w:ascii="仿宋" w:hAnsi="仿宋" w:eastAsia="仿宋" w:cs="仿宋"/>
          <w:b w:val="0"/>
          <w:bCs w:val="0"/>
          <w:sz w:val="30"/>
          <w:szCs w:val="30"/>
          <w:lang w:val="en-US" w:eastAsia="zh-CN"/>
        </w:rPr>
        <w:t>科学化</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民主化和法治化</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提高</w:t>
      </w:r>
      <w:r>
        <w:rPr>
          <w:rFonts w:hint="eastAsia" w:ascii="仿宋" w:hAnsi="仿宋" w:eastAsia="仿宋" w:cs="仿宋"/>
          <w:b w:val="0"/>
          <w:bCs w:val="0"/>
          <w:sz w:val="30"/>
          <w:szCs w:val="30"/>
          <w:lang w:val="en-US" w:eastAsia="zh-CN"/>
        </w:rPr>
        <w:t>《实施办法》制定的</w:t>
      </w:r>
      <w:r>
        <w:rPr>
          <w:rFonts w:hint="default" w:ascii="仿宋" w:hAnsi="仿宋" w:eastAsia="仿宋" w:cs="仿宋"/>
          <w:b w:val="0"/>
          <w:bCs w:val="0"/>
          <w:sz w:val="30"/>
          <w:szCs w:val="30"/>
          <w:lang w:val="en-US" w:eastAsia="zh-CN"/>
        </w:rPr>
        <w:t>水平和质量。从源头上预防</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减少和消除影响社会稳定的隐患</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维护公共利益和社会秩序</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促进和谐稳定的发展环境。</w:t>
      </w:r>
    </w:p>
    <w:p>
      <w:pPr>
        <w:pStyle w:val="19"/>
        <w:rPr>
          <w:rFonts w:hint="default" w:ascii="仿宋" w:hAnsi="仿宋" w:eastAsia="仿宋" w:cs="仿宋"/>
          <w:b w:val="0"/>
          <w:bCs w:val="0"/>
          <w:sz w:val="30"/>
          <w:szCs w:val="30"/>
          <w:lang w:val="en-US" w:eastAsia="zh-CN"/>
        </w:rPr>
      </w:pPr>
    </w:p>
    <w:p>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600" w:firstLineChars="200"/>
        <w:textAlignment w:val="auto"/>
        <w:rPr>
          <w:rFonts w:hint="default" w:ascii="黑体" w:hAnsi="黑体" w:eastAsia="黑体" w:cs="黑体"/>
          <w:b w:val="0"/>
          <w:bCs w:val="0"/>
          <w:sz w:val="30"/>
          <w:szCs w:val="30"/>
          <w:lang w:val="en-US" w:eastAsia="zh-CN"/>
        </w:rPr>
      </w:pPr>
      <w:bookmarkStart w:id="19" w:name="_Toc6774"/>
      <w:r>
        <w:rPr>
          <w:rFonts w:hint="eastAsia" w:ascii="黑体" w:hAnsi="黑体" w:eastAsia="黑体" w:cs="黑体"/>
          <w:b w:val="0"/>
          <w:bCs w:val="0"/>
          <w:sz w:val="30"/>
          <w:szCs w:val="30"/>
          <w:lang w:val="en-US" w:eastAsia="zh-CN"/>
        </w:rPr>
        <w:t>评估依据</w:t>
      </w:r>
      <w:bookmarkEnd w:id="19"/>
    </w:p>
    <w:p>
      <w:pPr>
        <w:keepNext w:val="0"/>
        <w:keepLines w:val="0"/>
        <w:pageBreakBefore w:val="0"/>
        <w:widowControl w:val="0"/>
        <w:numPr>
          <w:ilvl w:val="0"/>
          <w:numId w:val="0"/>
        </w:numPr>
        <w:tabs>
          <w:tab w:val="left" w:pos="5977"/>
        </w:tabs>
        <w:kinsoku/>
        <w:wordWrap/>
        <w:overflowPunct/>
        <w:topLinePunct w:val="0"/>
        <w:autoSpaceDE/>
        <w:autoSpaceDN/>
        <w:bidi w:val="0"/>
        <w:adjustRightInd/>
        <w:snapToGrid/>
        <w:ind w:firstLine="600" w:firstLineChars="200"/>
        <w:jc w:val="both"/>
        <w:textAlignment w:val="auto"/>
        <w:rPr>
          <w:rFonts w:hint="default" w:ascii="仿宋" w:hAnsi="仿宋" w:eastAsia="仿宋" w:cs="仿宋"/>
          <w:b w:val="0"/>
          <w:bCs w:val="0"/>
          <w:sz w:val="30"/>
          <w:szCs w:val="30"/>
          <w:lang w:val="en-US" w:eastAsia="zh-CN"/>
        </w:rPr>
      </w:pPr>
      <w:r>
        <w:rPr>
          <w:rFonts w:hint="default" w:ascii="仿宋" w:hAnsi="仿宋" w:eastAsia="仿宋" w:cs="仿宋"/>
          <w:b w:val="0"/>
          <w:bCs w:val="0"/>
          <w:sz w:val="30"/>
          <w:szCs w:val="30"/>
          <w:lang w:val="en-US" w:eastAsia="zh-CN"/>
        </w:rPr>
        <w:t>《重大行政决策程序暂行条例》</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广东省重大行政决策程序规定</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val="en-US" w:eastAsia="zh-CN"/>
        </w:rPr>
        <w:t>《深圳市人民政府重大行政决策程序规定》以及《深圳市重大事项社会稳定风险评估办法》</w:t>
      </w:r>
    </w:p>
    <w:p>
      <w:pPr>
        <w:numPr>
          <w:ilvl w:val="0"/>
          <w:numId w:val="0"/>
        </w:numPr>
        <w:tabs>
          <w:tab w:val="left" w:pos="5977"/>
        </w:tabs>
        <w:ind w:firstLine="642"/>
        <w:jc w:val="both"/>
        <w:rPr>
          <w:rFonts w:hint="default" w:ascii="仿宋" w:hAnsi="仿宋" w:eastAsia="仿宋" w:cs="仿宋"/>
          <w:b w:val="0"/>
          <w:bCs w:val="0"/>
          <w:sz w:val="30"/>
          <w:szCs w:val="30"/>
          <w:lang w:val="en-US" w:eastAsia="zh-CN"/>
        </w:rPr>
      </w:pPr>
    </w:p>
    <w:p>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600" w:firstLineChars="200"/>
        <w:textAlignment w:val="auto"/>
        <w:rPr>
          <w:rFonts w:hint="default" w:ascii="黑体" w:hAnsi="黑体" w:eastAsia="黑体" w:cs="黑体"/>
          <w:b w:val="0"/>
          <w:bCs w:val="0"/>
          <w:sz w:val="30"/>
          <w:szCs w:val="30"/>
          <w:lang w:val="en-US" w:eastAsia="zh-CN"/>
        </w:rPr>
      </w:pPr>
      <w:bookmarkStart w:id="20" w:name="_Toc31795"/>
      <w:r>
        <w:rPr>
          <w:rFonts w:hint="eastAsia" w:ascii="黑体" w:hAnsi="黑体" w:eastAsia="黑体" w:cs="黑体"/>
          <w:b w:val="0"/>
          <w:bCs w:val="0"/>
          <w:sz w:val="30"/>
          <w:szCs w:val="30"/>
          <w:lang w:val="en-US" w:eastAsia="zh-CN"/>
        </w:rPr>
        <w:t>评估要点</w:t>
      </w:r>
      <w:bookmarkEnd w:id="20"/>
    </w:p>
    <w:p>
      <w:pPr>
        <w:numPr>
          <w:ilvl w:val="0"/>
          <w:numId w:val="0"/>
        </w:numPr>
        <w:tabs>
          <w:tab w:val="left" w:pos="5977"/>
        </w:tabs>
        <w:ind w:firstLine="642"/>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针对《实施办法》的整体合理性、合法性、可行性、风险可控性进行综合评估。主要包括：</w:t>
      </w:r>
    </w:p>
    <w:p>
      <w:pPr>
        <w:keepNext w:val="0"/>
        <w:keepLines w:val="0"/>
        <w:pageBreakBefore w:val="0"/>
        <w:widowControl w:val="0"/>
        <w:numPr>
          <w:ilvl w:val="0"/>
          <w:numId w:val="7"/>
        </w:numPr>
        <w:tabs>
          <w:tab w:val="left" w:pos="5977"/>
        </w:tabs>
        <w:kinsoku/>
        <w:wordWrap/>
        <w:overflowPunct/>
        <w:topLinePunct w:val="0"/>
        <w:autoSpaceDE/>
        <w:autoSpaceDN/>
        <w:bidi w:val="0"/>
        <w:adjustRightInd/>
        <w:snapToGrid/>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《实施办法》是否符合大多数商事主体的利益诉求，是否给所涉及商事主体的生产、经营带来一定的影响；</w:t>
      </w:r>
    </w:p>
    <w:p>
      <w:pPr>
        <w:keepNext w:val="0"/>
        <w:keepLines w:val="0"/>
        <w:pageBreakBefore w:val="0"/>
        <w:widowControl w:val="0"/>
        <w:numPr>
          <w:ilvl w:val="0"/>
          <w:numId w:val="7"/>
        </w:numPr>
        <w:tabs>
          <w:tab w:val="left" w:pos="5977"/>
        </w:tabs>
        <w:kinsoku/>
        <w:wordWrap/>
        <w:overflowPunct/>
        <w:topLinePunct w:val="0"/>
        <w:autoSpaceDE/>
        <w:autoSpaceDN/>
        <w:bidi w:val="0"/>
        <w:adjustRightInd/>
        <w:snapToGrid/>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是否存在商事主体利用制度漏洞逃避监管的风险;</w:t>
      </w:r>
    </w:p>
    <w:p>
      <w:pPr>
        <w:keepNext w:val="0"/>
        <w:keepLines w:val="0"/>
        <w:pageBreakBefore w:val="0"/>
        <w:widowControl w:val="0"/>
        <w:numPr>
          <w:ilvl w:val="0"/>
          <w:numId w:val="7"/>
        </w:numPr>
        <w:tabs>
          <w:tab w:val="left" w:pos="5977"/>
        </w:tabs>
        <w:kinsoku/>
        <w:wordWrap/>
        <w:overflowPunct/>
        <w:topLinePunct w:val="0"/>
        <w:autoSpaceDE/>
        <w:autoSpaceDN/>
        <w:bidi w:val="0"/>
        <w:adjustRightInd/>
        <w:snapToGrid/>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涉及的商事主体有可能就哪些方面提出合理的异议和诉求，能否通过法律、政策妥善解决;</w:t>
      </w:r>
    </w:p>
    <w:p>
      <w:pPr>
        <w:keepNext w:val="0"/>
        <w:keepLines w:val="0"/>
        <w:pageBreakBefore w:val="0"/>
        <w:widowControl w:val="0"/>
        <w:numPr>
          <w:ilvl w:val="0"/>
          <w:numId w:val="7"/>
        </w:numPr>
        <w:tabs>
          <w:tab w:val="left" w:pos="5977"/>
        </w:tabs>
        <w:kinsoku/>
        <w:wordWrap/>
        <w:overflowPunct/>
        <w:topLinePunct w:val="0"/>
        <w:autoSpaceDE/>
        <w:autoSpaceDN/>
        <w:bidi w:val="0"/>
        <w:adjustRightInd/>
        <w:snapToGrid/>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对涉及商事主体有可能提出的不合理诉求，能否依据法律、政策进行充分合理解释、有力论证和详细说明，并取得大部分商事主体的理解和支持;</w:t>
      </w:r>
    </w:p>
    <w:p>
      <w:pPr>
        <w:keepNext w:val="0"/>
        <w:keepLines w:val="0"/>
        <w:pageBreakBefore w:val="0"/>
        <w:widowControl w:val="0"/>
        <w:numPr>
          <w:ilvl w:val="0"/>
          <w:numId w:val="7"/>
        </w:numPr>
        <w:tabs>
          <w:tab w:val="left" w:pos="5977"/>
        </w:tabs>
        <w:kinsoku/>
        <w:wordWrap/>
        <w:overflowPunct/>
        <w:topLinePunct w:val="0"/>
        <w:autoSpaceDE/>
        <w:autoSpaceDN/>
        <w:bidi w:val="0"/>
        <w:adjustRightInd/>
        <w:snapToGrid/>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在施行中可能遇到的争议，能否依据法律、政策进行充分合理解释、有力论证和详细说明;</w:t>
      </w:r>
    </w:p>
    <w:p>
      <w:pPr>
        <w:keepNext w:val="0"/>
        <w:keepLines w:val="0"/>
        <w:pageBreakBefore w:val="0"/>
        <w:widowControl w:val="0"/>
        <w:numPr>
          <w:ilvl w:val="0"/>
          <w:numId w:val="7"/>
        </w:numPr>
        <w:tabs>
          <w:tab w:val="left" w:pos="5977"/>
        </w:tabs>
        <w:kinsoku/>
        <w:wordWrap/>
        <w:overflowPunct/>
        <w:topLinePunct w:val="0"/>
        <w:autoSpaceDE/>
        <w:autoSpaceDN/>
        <w:bidi w:val="0"/>
        <w:adjustRightInd/>
        <w:snapToGrid/>
        <w:ind w:left="0" w:leftChars="0"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有可能引发不稳定因素的其他方面。</w:t>
      </w:r>
    </w:p>
    <w:p>
      <w:pPr>
        <w:pStyle w:val="19"/>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sz w:val="30"/>
          <w:szCs w:val="30"/>
          <w:lang w:val="en-US" w:eastAsia="zh-CN"/>
        </w:rPr>
      </w:pPr>
    </w:p>
    <w:p>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600" w:firstLineChars="200"/>
        <w:textAlignment w:val="auto"/>
        <w:rPr>
          <w:rFonts w:hint="eastAsia" w:ascii="黑体" w:hAnsi="黑体" w:eastAsia="黑体" w:cs="黑体"/>
          <w:b w:val="0"/>
          <w:bCs w:val="0"/>
          <w:sz w:val="30"/>
          <w:szCs w:val="30"/>
          <w:lang w:val="en-US" w:eastAsia="zh-CN"/>
        </w:rPr>
      </w:pPr>
      <w:bookmarkStart w:id="21" w:name="_Toc3982"/>
      <w:r>
        <w:rPr>
          <w:rFonts w:hint="eastAsia" w:ascii="黑体" w:hAnsi="黑体" w:eastAsia="黑体" w:cs="黑体"/>
          <w:b w:val="0"/>
          <w:bCs w:val="0"/>
          <w:sz w:val="30"/>
          <w:szCs w:val="30"/>
          <w:lang w:val="en-US" w:eastAsia="zh-CN"/>
        </w:rPr>
        <w:t>评估方法</w:t>
      </w:r>
      <w:bookmarkEnd w:id="21"/>
    </w:p>
    <w:p>
      <w:pPr>
        <w:pStyle w:val="19"/>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采用定性分析法</w:t>
      </w:r>
      <w:r>
        <w:rPr>
          <w:rFonts w:hint="eastAsia" w:cs="仿宋"/>
          <w:b w:val="0"/>
          <w:bCs w:val="0"/>
          <w:sz w:val="30"/>
          <w:szCs w:val="30"/>
          <w:lang w:val="en-US" w:eastAsia="zh-CN"/>
        </w:rPr>
        <w:t>，</w:t>
      </w:r>
      <w:r>
        <w:rPr>
          <w:rFonts w:hint="eastAsia" w:ascii="仿宋" w:hAnsi="仿宋" w:eastAsia="仿宋" w:cs="仿宋"/>
          <w:b w:val="0"/>
          <w:bCs w:val="0"/>
          <w:sz w:val="30"/>
          <w:szCs w:val="30"/>
          <w:lang w:val="en-US" w:eastAsia="zh-CN"/>
        </w:rPr>
        <w:t>组织收集决策背景</w:t>
      </w:r>
      <w:r>
        <w:rPr>
          <w:rFonts w:hint="eastAsia" w:cs="仿宋"/>
          <w:b w:val="0"/>
          <w:bCs w:val="0"/>
          <w:sz w:val="30"/>
          <w:szCs w:val="30"/>
          <w:lang w:val="en-US" w:eastAsia="zh-CN"/>
        </w:rPr>
        <w:t>、</w:t>
      </w:r>
      <w:r>
        <w:rPr>
          <w:rFonts w:hint="eastAsia" w:ascii="仿宋" w:hAnsi="仿宋" w:eastAsia="仿宋" w:cs="仿宋"/>
          <w:b w:val="0"/>
          <w:bCs w:val="0"/>
          <w:sz w:val="30"/>
          <w:szCs w:val="30"/>
          <w:lang w:val="en-US" w:eastAsia="zh-CN"/>
        </w:rPr>
        <w:t>信息</w:t>
      </w:r>
      <w:r>
        <w:rPr>
          <w:rFonts w:hint="eastAsia" w:cs="仿宋"/>
          <w:b w:val="0"/>
          <w:bCs w:val="0"/>
          <w:sz w:val="30"/>
          <w:szCs w:val="30"/>
          <w:lang w:val="en-US" w:eastAsia="zh-CN"/>
        </w:rPr>
        <w:t>、</w:t>
      </w:r>
      <w:r>
        <w:rPr>
          <w:rFonts w:hint="eastAsia" w:ascii="仿宋" w:hAnsi="仿宋" w:eastAsia="仿宋" w:cs="仿宋"/>
          <w:b w:val="0"/>
          <w:bCs w:val="0"/>
          <w:sz w:val="30"/>
          <w:szCs w:val="30"/>
          <w:lang w:val="en-US" w:eastAsia="zh-CN"/>
        </w:rPr>
        <w:t>数据等资料进行综合分析研究</w:t>
      </w:r>
      <w:r>
        <w:rPr>
          <w:rFonts w:hint="eastAsia" w:cs="仿宋"/>
          <w:b w:val="0"/>
          <w:bCs w:val="0"/>
          <w:sz w:val="30"/>
          <w:szCs w:val="30"/>
          <w:lang w:val="en-US" w:eastAsia="zh-CN"/>
        </w:rPr>
        <w:t>，</w:t>
      </w:r>
      <w:r>
        <w:rPr>
          <w:rFonts w:hint="eastAsia" w:ascii="仿宋" w:hAnsi="仿宋" w:eastAsia="仿宋" w:cs="仿宋"/>
          <w:b w:val="0"/>
          <w:bCs w:val="0"/>
          <w:sz w:val="30"/>
          <w:szCs w:val="30"/>
          <w:lang w:val="en-US" w:eastAsia="zh-CN"/>
        </w:rPr>
        <w:t>全面查找风险源</w:t>
      </w:r>
      <w:r>
        <w:rPr>
          <w:rFonts w:hint="eastAsia" w:cs="仿宋"/>
          <w:b w:val="0"/>
          <w:bCs w:val="0"/>
          <w:sz w:val="30"/>
          <w:szCs w:val="30"/>
          <w:lang w:val="en-US" w:eastAsia="zh-CN"/>
        </w:rPr>
        <w:t>、</w:t>
      </w:r>
      <w:r>
        <w:rPr>
          <w:rFonts w:hint="eastAsia" w:ascii="仿宋" w:hAnsi="仿宋" w:eastAsia="仿宋" w:cs="仿宋"/>
          <w:b w:val="0"/>
          <w:bCs w:val="0"/>
          <w:sz w:val="30"/>
          <w:szCs w:val="30"/>
          <w:lang w:val="en-US" w:eastAsia="zh-CN"/>
        </w:rPr>
        <w:t>风险点</w:t>
      </w:r>
      <w:r>
        <w:rPr>
          <w:rFonts w:hint="eastAsia" w:cs="仿宋"/>
          <w:b w:val="0"/>
          <w:bCs w:val="0"/>
          <w:sz w:val="30"/>
          <w:szCs w:val="30"/>
          <w:lang w:val="en-US" w:eastAsia="zh-CN"/>
        </w:rPr>
        <w:t>，</w:t>
      </w:r>
      <w:r>
        <w:rPr>
          <w:rFonts w:hint="eastAsia" w:ascii="仿宋" w:hAnsi="仿宋" w:eastAsia="仿宋" w:cs="仿宋"/>
          <w:b w:val="0"/>
          <w:bCs w:val="0"/>
          <w:sz w:val="30"/>
          <w:szCs w:val="30"/>
          <w:lang w:val="en-US" w:eastAsia="zh-CN"/>
        </w:rPr>
        <w:t>并逐一进行评估。</w:t>
      </w:r>
    </w:p>
    <w:p>
      <w:pPr>
        <w:pStyle w:val="19"/>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 w:hAnsi="仿宋" w:eastAsia="仿宋" w:cs="仿宋"/>
          <w:b w:val="0"/>
          <w:bCs w:val="0"/>
          <w:sz w:val="30"/>
          <w:szCs w:val="30"/>
          <w:lang w:val="en-US" w:eastAsia="zh-CN"/>
        </w:rPr>
      </w:pPr>
    </w:p>
    <w:p>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ind w:firstLine="600" w:firstLineChars="200"/>
        <w:textAlignment w:val="auto"/>
        <w:rPr>
          <w:rFonts w:hint="eastAsia" w:ascii="黑体" w:hAnsi="黑体" w:eastAsia="黑体" w:cs="黑体"/>
          <w:b w:val="0"/>
          <w:bCs w:val="0"/>
          <w:sz w:val="30"/>
          <w:szCs w:val="30"/>
          <w:lang w:val="en-US" w:eastAsia="zh-CN"/>
        </w:rPr>
      </w:pPr>
      <w:bookmarkStart w:id="22" w:name="_Toc30325"/>
      <w:r>
        <w:rPr>
          <w:rFonts w:hint="eastAsia" w:ascii="黑体" w:hAnsi="黑体" w:eastAsia="黑体" w:cs="黑体"/>
          <w:b w:val="0"/>
          <w:bCs w:val="0"/>
          <w:sz w:val="30"/>
          <w:szCs w:val="30"/>
          <w:lang w:val="en-US" w:eastAsia="zh-CN"/>
        </w:rPr>
        <w:t>评估方式</w:t>
      </w:r>
      <w:bookmarkEnd w:id="22"/>
    </w:p>
    <w:p>
      <w:pPr>
        <w:pStyle w:val="19"/>
        <w:ind w:left="0" w:leftChars="0" w:firstLine="600" w:firstLineChars="200"/>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评估方式具体包括征求相关部门意见</w:t>
      </w:r>
      <w:r>
        <w:rPr>
          <w:rFonts w:hint="eastAsia" w:cs="仿宋"/>
          <w:b w:val="0"/>
          <w:bCs w:val="0"/>
          <w:sz w:val="30"/>
          <w:szCs w:val="30"/>
          <w:lang w:val="en-US" w:eastAsia="zh-CN"/>
        </w:rPr>
        <w:t>、</w:t>
      </w:r>
      <w:r>
        <w:rPr>
          <w:rFonts w:hint="eastAsia" w:ascii="仿宋" w:hAnsi="仿宋" w:eastAsia="仿宋" w:cs="仿宋"/>
          <w:b w:val="0"/>
          <w:bCs w:val="0"/>
          <w:sz w:val="30"/>
          <w:szCs w:val="30"/>
          <w:lang w:val="en-US" w:eastAsia="zh-CN"/>
        </w:rPr>
        <w:t>征求公众意见</w:t>
      </w:r>
      <w:r>
        <w:rPr>
          <w:rFonts w:hint="eastAsia" w:cs="仿宋"/>
          <w:b w:val="0"/>
          <w:bCs w:val="0"/>
          <w:sz w:val="30"/>
          <w:szCs w:val="30"/>
          <w:lang w:val="en-US" w:eastAsia="zh-CN"/>
        </w:rPr>
        <w:t>、</w:t>
      </w:r>
      <w:r>
        <w:rPr>
          <w:rFonts w:hint="eastAsia" w:ascii="仿宋" w:hAnsi="仿宋" w:eastAsia="仿宋" w:cs="仿宋"/>
          <w:b w:val="0"/>
          <w:bCs w:val="0"/>
          <w:sz w:val="30"/>
          <w:szCs w:val="30"/>
          <w:lang w:val="en-US" w:eastAsia="zh-CN"/>
        </w:rPr>
        <w:t>组织公开听证</w:t>
      </w:r>
      <w:r>
        <w:rPr>
          <w:rFonts w:hint="eastAsia" w:cs="仿宋"/>
          <w:b w:val="0"/>
          <w:bCs w:val="0"/>
          <w:sz w:val="30"/>
          <w:szCs w:val="30"/>
          <w:lang w:val="en-US" w:eastAsia="zh-CN"/>
        </w:rPr>
        <w:t>、</w:t>
      </w:r>
      <w:r>
        <w:rPr>
          <w:rFonts w:hint="eastAsia" w:ascii="仿宋" w:hAnsi="仿宋" w:eastAsia="仿宋" w:cs="仿宋"/>
          <w:b w:val="0"/>
          <w:bCs w:val="0"/>
          <w:sz w:val="30"/>
          <w:szCs w:val="30"/>
          <w:lang w:val="en-US" w:eastAsia="zh-CN"/>
        </w:rPr>
        <w:t>舆情</w:t>
      </w:r>
      <w:r>
        <w:rPr>
          <w:rFonts w:hint="eastAsia" w:cs="仿宋"/>
          <w:b w:val="0"/>
          <w:bCs w:val="0"/>
          <w:sz w:val="30"/>
          <w:szCs w:val="30"/>
          <w:lang w:val="en-US" w:eastAsia="zh-CN"/>
        </w:rPr>
        <w:t>分析</w:t>
      </w:r>
      <w:r>
        <w:rPr>
          <w:rFonts w:hint="eastAsia" w:ascii="仿宋" w:hAnsi="仿宋" w:eastAsia="仿宋" w:cs="仿宋"/>
          <w:b w:val="0"/>
          <w:bCs w:val="0"/>
          <w:sz w:val="30"/>
          <w:szCs w:val="30"/>
          <w:lang w:val="en-US" w:eastAsia="zh-CN"/>
        </w:rPr>
        <w:t>跟踪等方式。</w:t>
      </w:r>
    </w:p>
    <w:p>
      <w:pPr>
        <w:numPr>
          <w:ilvl w:val="0"/>
          <w:numId w:val="0"/>
        </w:numPr>
        <w:tabs>
          <w:tab w:val="left" w:pos="5977"/>
        </w:tabs>
        <w:jc w:val="center"/>
        <w:outlineLvl w:val="0"/>
        <w:rPr>
          <w:rFonts w:hint="default" w:ascii="黑体" w:hAnsi="黑体" w:eastAsia="黑体" w:cs="黑体"/>
          <w:b/>
          <w:bCs/>
          <w:sz w:val="30"/>
          <w:szCs w:val="30"/>
          <w:lang w:val="en-US" w:eastAsia="zh-CN"/>
        </w:rPr>
      </w:pPr>
      <w:bookmarkStart w:id="23" w:name="_Toc16076"/>
      <w:r>
        <w:rPr>
          <w:rFonts w:hint="eastAsia" w:ascii="黑体" w:hAnsi="黑体" w:eastAsia="黑体" w:cs="黑体"/>
          <w:b/>
          <w:bCs/>
          <w:sz w:val="30"/>
          <w:szCs w:val="30"/>
          <w:lang w:val="en-US" w:eastAsia="zh-CN"/>
        </w:rPr>
        <w:t>第二部分 风险评估内容</w:t>
      </w:r>
      <w:bookmarkEnd w:id="23"/>
    </w:p>
    <w:p>
      <w:pPr>
        <w:pStyle w:val="2"/>
        <w:jc w:val="both"/>
        <w:rPr>
          <w:rFonts w:hint="eastAsia" w:ascii="仿宋" w:hAnsi="仿宋" w:eastAsia="仿宋" w:cs="仿宋"/>
          <w:b w:val="0"/>
          <w:bCs w:val="0"/>
          <w:sz w:val="30"/>
          <w:szCs w:val="30"/>
          <w:lang w:val="en-US" w:eastAsia="zh-CN"/>
        </w:rPr>
      </w:pPr>
    </w:p>
    <w:p>
      <w:pPr>
        <w:numPr>
          <w:ilvl w:val="0"/>
          <w:numId w:val="0"/>
        </w:numPr>
        <w:tabs>
          <w:tab w:val="left" w:pos="5977"/>
        </w:tabs>
        <w:ind w:firstLine="600" w:firstLineChars="200"/>
        <w:jc w:val="both"/>
        <w:rPr>
          <w:rFonts w:hint="eastAsia"/>
          <w:sz w:val="30"/>
          <w:szCs w:val="30"/>
          <w:lang w:val="en-US" w:eastAsia="zh-CN"/>
        </w:rPr>
      </w:pPr>
      <w:r>
        <w:rPr>
          <w:rFonts w:hint="eastAsia" w:ascii="仿宋" w:hAnsi="仿宋" w:eastAsia="仿宋" w:cs="仿宋"/>
          <w:b w:val="0"/>
          <w:bCs w:val="0"/>
          <w:sz w:val="30"/>
          <w:szCs w:val="30"/>
          <w:lang w:val="en-US" w:eastAsia="zh-CN"/>
        </w:rPr>
        <w:t>针对《实施办法》的内容，分别就合法性、合理性、可行性、可控性进行综合分析研判：</w:t>
      </w:r>
    </w:p>
    <w:p>
      <w:pPr>
        <w:pStyle w:val="5"/>
        <w:keepNext/>
        <w:keepLines/>
        <w:pageBreakBefore w:val="0"/>
        <w:widowControl w:val="0"/>
        <w:numPr>
          <w:ilvl w:val="0"/>
          <w:numId w:val="8"/>
        </w:numPr>
        <w:kinsoku/>
        <w:wordWrap/>
        <w:overflowPunct/>
        <w:topLinePunct w:val="0"/>
        <w:autoSpaceDE/>
        <w:autoSpaceDN/>
        <w:bidi w:val="0"/>
        <w:adjustRightInd/>
        <w:snapToGrid/>
        <w:spacing w:before="157" w:beforeLines="50" w:after="157" w:afterLines="50" w:line="240" w:lineRule="auto"/>
        <w:ind w:firstLine="600" w:firstLineChars="200"/>
        <w:textAlignment w:val="auto"/>
        <w:rPr>
          <w:rFonts w:hint="eastAsia" w:ascii="黑体" w:hAnsi="黑体" w:eastAsia="黑体" w:cs="黑体"/>
          <w:b w:val="0"/>
          <w:bCs w:val="0"/>
          <w:sz w:val="30"/>
          <w:szCs w:val="30"/>
          <w:lang w:val="en-US" w:eastAsia="zh-CN"/>
        </w:rPr>
      </w:pPr>
      <w:bookmarkStart w:id="24" w:name="_Toc3799"/>
      <w:r>
        <w:rPr>
          <w:rFonts w:hint="eastAsia" w:ascii="黑体" w:hAnsi="黑体" w:eastAsia="黑体" w:cs="黑体"/>
          <w:b w:val="0"/>
          <w:bCs w:val="0"/>
          <w:sz w:val="30"/>
          <w:szCs w:val="30"/>
          <w:lang w:val="en-US" w:eastAsia="zh-CN"/>
        </w:rPr>
        <w:t>合法性评估</w:t>
      </w:r>
      <w:bookmarkEnd w:id="24"/>
    </w:p>
    <w:p>
      <w:pPr>
        <w:pStyle w:val="19"/>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合法性评估主要在于</w:t>
      </w:r>
      <w:r>
        <w:rPr>
          <w:rFonts w:hint="eastAsia" w:cs="仿宋"/>
          <w:b w:val="0"/>
          <w:bCs w:val="0"/>
          <w:kern w:val="2"/>
          <w:sz w:val="30"/>
          <w:szCs w:val="30"/>
          <w:lang w:val="en-US" w:eastAsia="zh-CN" w:bidi="ar-SA"/>
        </w:rPr>
        <w:t>评判《实施办法》的相关</w:t>
      </w:r>
      <w:r>
        <w:rPr>
          <w:rFonts w:hint="eastAsia" w:ascii="仿宋" w:hAnsi="仿宋" w:eastAsia="仿宋" w:cs="仿宋"/>
          <w:b w:val="0"/>
          <w:bCs w:val="0"/>
          <w:kern w:val="2"/>
          <w:sz w:val="30"/>
          <w:szCs w:val="30"/>
          <w:lang w:val="en-US" w:eastAsia="zh-CN" w:bidi="ar-SA"/>
        </w:rPr>
        <w:t>主体</w:t>
      </w:r>
      <w:r>
        <w:rPr>
          <w:rFonts w:hint="eastAsia" w:cs="仿宋"/>
          <w:b w:val="0"/>
          <w:bCs w:val="0"/>
          <w:kern w:val="2"/>
          <w:sz w:val="30"/>
          <w:szCs w:val="30"/>
          <w:lang w:val="en-US" w:eastAsia="zh-CN" w:bidi="ar-SA"/>
        </w:rPr>
        <w:t>、制定依据以及制定程序</w:t>
      </w:r>
      <w:r>
        <w:rPr>
          <w:rFonts w:hint="eastAsia" w:ascii="仿宋" w:hAnsi="仿宋" w:eastAsia="仿宋" w:cs="仿宋"/>
          <w:b w:val="0"/>
          <w:bCs w:val="0"/>
          <w:kern w:val="2"/>
          <w:sz w:val="30"/>
          <w:szCs w:val="30"/>
          <w:lang w:val="en-US" w:eastAsia="zh-CN" w:bidi="ar-SA"/>
        </w:rPr>
        <w:t>等是否符合</w:t>
      </w:r>
      <w:r>
        <w:rPr>
          <w:rFonts w:hint="eastAsia" w:cs="仿宋"/>
          <w:b w:val="0"/>
          <w:bCs w:val="0"/>
          <w:kern w:val="2"/>
          <w:sz w:val="30"/>
          <w:szCs w:val="30"/>
          <w:lang w:val="en-US" w:eastAsia="zh-CN" w:bidi="ar-SA"/>
        </w:rPr>
        <w:t>相关</w:t>
      </w:r>
      <w:r>
        <w:rPr>
          <w:rFonts w:hint="eastAsia" w:ascii="仿宋" w:hAnsi="仿宋" w:eastAsia="仿宋" w:cs="仿宋"/>
          <w:b w:val="0"/>
          <w:bCs w:val="0"/>
          <w:kern w:val="2"/>
          <w:sz w:val="30"/>
          <w:szCs w:val="30"/>
          <w:lang w:val="en-US" w:eastAsia="zh-CN" w:bidi="ar-SA"/>
        </w:rPr>
        <w:t>法律法规</w:t>
      </w:r>
      <w:r>
        <w:rPr>
          <w:rFonts w:hint="eastAsia" w:cs="仿宋"/>
          <w:b w:val="0"/>
          <w:bCs w:val="0"/>
          <w:kern w:val="2"/>
          <w:sz w:val="30"/>
          <w:szCs w:val="30"/>
          <w:lang w:val="en-US" w:eastAsia="zh-CN" w:bidi="ar-SA"/>
        </w:rPr>
        <w:t>的</w:t>
      </w:r>
      <w:r>
        <w:rPr>
          <w:rFonts w:hint="eastAsia" w:ascii="仿宋" w:hAnsi="仿宋" w:eastAsia="仿宋" w:cs="仿宋"/>
          <w:b w:val="0"/>
          <w:bCs w:val="0"/>
          <w:kern w:val="2"/>
          <w:sz w:val="30"/>
          <w:szCs w:val="30"/>
          <w:lang w:val="en-US" w:eastAsia="zh-CN" w:bidi="ar-SA"/>
        </w:rPr>
        <w:t>规定。</w:t>
      </w:r>
    </w:p>
    <w:p>
      <w:pPr>
        <w:pStyle w:val="6"/>
        <w:keepNext/>
        <w:keepLines/>
        <w:pageBreakBefore w:val="0"/>
        <w:widowControl w:val="0"/>
        <w:numPr>
          <w:ilvl w:val="0"/>
          <w:numId w:val="9"/>
        </w:numPr>
        <w:kinsoku/>
        <w:wordWrap/>
        <w:overflowPunct/>
        <w:topLinePunct w:val="0"/>
        <w:autoSpaceDE/>
        <w:autoSpaceDN/>
        <w:bidi w:val="0"/>
        <w:adjustRightInd/>
        <w:snapToGrid/>
        <w:spacing w:before="0" w:beforeLines="0" w:after="0" w:afterLines="0" w:line="240" w:lineRule="auto"/>
        <w:ind w:left="0" w:leftChars="0" w:firstLine="600" w:firstLineChars="200"/>
        <w:textAlignment w:val="auto"/>
        <w:rPr>
          <w:rFonts w:hint="eastAsia" w:ascii="黑体" w:hAnsi="黑体" w:eastAsia="黑体" w:cs="黑体"/>
          <w:b w:val="0"/>
          <w:bCs/>
          <w:sz w:val="30"/>
          <w:szCs w:val="30"/>
          <w:lang w:val="en-US" w:eastAsia="zh-CN"/>
        </w:rPr>
      </w:pPr>
      <w:bookmarkStart w:id="25" w:name="_Toc755"/>
      <w:r>
        <w:rPr>
          <w:rFonts w:hint="eastAsia" w:ascii="黑体" w:hAnsi="黑体" w:eastAsia="黑体" w:cs="黑体"/>
          <w:b w:val="0"/>
          <w:bCs/>
          <w:sz w:val="30"/>
          <w:szCs w:val="30"/>
          <w:lang w:val="en-US" w:eastAsia="zh-CN"/>
        </w:rPr>
        <w:t>决策承办单位主体资格</w:t>
      </w:r>
      <w:bookmarkEnd w:id="25"/>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outlineLvl w:val="9"/>
        <w:rPr>
          <w:rFonts w:hint="default" w:ascii="黑体" w:hAnsi="黑体" w:eastAsia="黑体" w:cs="黑体"/>
          <w:b/>
          <w:bCs/>
          <w:kern w:val="2"/>
          <w:sz w:val="30"/>
          <w:szCs w:val="30"/>
          <w:lang w:val="en-US" w:eastAsia="zh-CN" w:bidi="ar-SA"/>
        </w:rPr>
      </w:pPr>
      <w:r>
        <w:rPr>
          <w:rFonts w:hint="eastAsia" w:ascii="仿宋" w:hAnsi="仿宋" w:eastAsia="仿宋" w:cs="仿宋"/>
          <w:b w:val="0"/>
          <w:bCs w:val="0"/>
          <w:kern w:val="2"/>
          <w:sz w:val="30"/>
          <w:szCs w:val="30"/>
          <w:lang w:val="en-US" w:eastAsia="zh-CN" w:bidi="ar-SA"/>
        </w:rPr>
        <w:t>根据《深圳经济特区商事登记若干规定》第三十七条“市市场监管部门是商事登记机关，负责商事登记以及相关监督管理工作。商事登记机关可以根据本规定制定相关实施办法。”之规定，深圳市市场监督管理局作为市级市场监管部门，负责深圳经济特区辖区范围内的商事登记事务。《重大行政决策程序暂行条例》第十一条规定，决策机关决定启动决策程序的，应当明确决策事项的承办单位，由决策承办单位负责重大行政决策草案的拟订等工作。因此，深圳市市场监督管理局具有《实施办法》的承办单位主体资格。</w:t>
      </w:r>
    </w:p>
    <w:p>
      <w:pPr>
        <w:pStyle w:val="6"/>
        <w:keepNext/>
        <w:keepLines/>
        <w:numPr>
          <w:ilvl w:val="0"/>
          <w:numId w:val="9"/>
        </w:numPr>
        <w:spacing w:beforeLines="0" w:afterLines="0"/>
        <w:ind w:left="0" w:firstLine="600" w:firstLineChars="200"/>
        <w:outlineLvl w:val="2"/>
        <w:rPr>
          <w:rFonts w:hint="eastAsia" w:ascii="黑体" w:hAnsi="黑体" w:eastAsia="黑体" w:cs="黑体"/>
          <w:b w:val="0"/>
          <w:bCs/>
          <w:sz w:val="30"/>
          <w:szCs w:val="30"/>
          <w:lang w:val="en-US" w:eastAsia="zh-CN"/>
        </w:rPr>
      </w:pPr>
      <w:bookmarkStart w:id="26" w:name="_Toc7063"/>
      <w:r>
        <w:rPr>
          <w:rFonts w:hint="eastAsia" w:ascii="黑体" w:hAnsi="黑体" w:eastAsia="黑体" w:cs="黑体"/>
          <w:b w:val="0"/>
          <w:bCs/>
          <w:sz w:val="30"/>
          <w:szCs w:val="30"/>
          <w:lang w:val="en-US" w:eastAsia="zh-CN"/>
        </w:rPr>
        <w:t>制定依据</w:t>
      </w:r>
      <w:bookmarkEnd w:id="26"/>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00" w:firstLineChars="200"/>
        <w:jc w:val="both"/>
        <w:textAlignment w:val="auto"/>
        <w:outlineLvl w:val="9"/>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我国现行法律对歇业制度并无规定，虽然2021年4月14日国务院第131次常务会议通过的《市场主体登记管理条例》第三十条明确建立商事主体歇业制度，但亦是仅仅作出原则性的规定，且《市场主体登记管理条例》于2022年3月1日起施行</w:t>
      </w:r>
      <w:r>
        <w:rPr>
          <w:rFonts w:hint="eastAsia" w:cs="仿宋"/>
          <w:b w:val="0"/>
          <w:bCs w:val="0"/>
          <w:kern w:val="2"/>
          <w:sz w:val="30"/>
          <w:szCs w:val="30"/>
          <w:lang w:val="en-US" w:eastAsia="zh-CN" w:bidi="ar-SA"/>
        </w:rPr>
        <w:t>，暂不能作为制定依据，但《实施办法》实施在后的，目前完全可以吸收</w:t>
      </w:r>
      <w:r>
        <w:rPr>
          <w:rFonts w:hint="eastAsia" w:ascii="仿宋" w:hAnsi="仿宋" w:eastAsia="仿宋" w:cs="仿宋"/>
          <w:b w:val="0"/>
          <w:bCs w:val="0"/>
          <w:kern w:val="2"/>
          <w:sz w:val="30"/>
          <w:szCs w:val="30"/>
          <w:lang w:val="en-US" w:eastAsia="zh-CN" w:bidi="ar-SA"/>
        </w:rPr>
        <w:t>《市场主体登记管理条例》</w:t>
      </w:r>
      <w:r>
        <w:rPr>
          <w:rFonts w:hint="eastAsia" w:cs="仿宋"/>
          <w:b w:val="0"/>
          <w:bCs w:val="0"/>
          <w:kern w:val="2"/>
          <w:sz w:val="30"/>
          <w:szCs w:val="30"/>
          <w:lang w:val="en-US" w:eastAsia="zh-CN" w:bidi="ar-SA"/>
        </w:rPr>
        <w:t>的相关内容。</w:t>
      </w:r>
    </w:p>
    <w:p>
      <w:pPr>
        <w:pStyle w:val="19"/>
        <w:numPr>
          <w:ilvl w:val="0"/>
          <w:numId w:val="0"/>
        </w:numPr>
        <w:spacing w:line="560" w:lineRule="exact"/>
        <w:ind w:firstLine="600" w:firstLineChars="200"/>
        <w:jc w:val="both"/>
        <w:outlineLvl w:val="9"/>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《深圳经济特区商事登记若干规定》于2021年3月1日颁布施行，其第二十五条载明，商事主体需要暂停经营的，可以向商事登记机关办理</w:t>
      </w:r>
      <w:r>
        <w:rPr>
          <w:rFonts w:hint="eastAsia" w:cs="仿宋"/>
          <w:b w:val="0"/>
          <w:bCs w:val="0"/>
          <w:kern w:val="2"/>
          <w:sz w:val="30"/>
          <w:szCs w:val="30"/>
          <w:lang w:val="en-US" w:eastAsia="zh-CN" w:bidi="ar-SA"/>
        </w:rPr>
        <w:t>歇业备案</w:t>
      </w:r>
      <w:r>
        <w:rPr>
          <w:rFonts w:hint="eastAsia" w:ascii="仿宋" w:hAnsi="仿宋" w:eastAsia="仿宋" w:cs="仿宋"/>
          <w:b w:val="0"/>
          <w:bCs w:val="0"/>
          <w:kern w:val="2"/>
          <w:sz w:val="30"/>
          <w:szCs w:val="30"/>
          <w:lang w:val="en-US" w:eastAsia="zh-CN" w:bidi="ar-SA"/>
        </w:rPr>
        <w:t>，歇业期间商事主体存续</w:t>
      </w:r>
      <w:r>
        <w:rPr>
          <w:rFonts w:hint="eastAsia" w:cs="仿宋"/>
          <w:b w:val="0"/>
          <w:bCs w:val="0"/>
          <w:kern w:val="2"/>
          <w:sz w:val="30"/>
          <w:szCs w:val="30"/>
          <w:lang w:val="en-US" w:eastAsia="zh-CN" w:bidi="ar-SA"/>
        </w:rPr>
        <w:t>，</w:t>
      </w:r>
      <w:r>
        <w:rPr>
          <w:rFonts w:hint="eastAsia" w:ascii="仿宋" w:hAnsi="仿宋" w:eastAsia="仿宋" w:cs="仿宋"/>
          <w:b w:val="0"/>
          <w:bCs w:val="0"/>
          <w:kern w:val="2"/>
          <w:sz w:val="30"/>
          <w:szCs w:val="30"/>
          <w:lang w:val="en-US" w:eastAsia="zh-CN" w:bidi="ar-SA"/>
        </w:rPr>
        <w:t>且第三十七条亦明确商事登记机关可以制定相关实施办法。因此，制定《实施办法》系将商事主体歇业制度落到实地，提供明晰的、法定化的指引，符合《深圳经济特区商事登记若干规定》的规定，且《实施办法》明确以《深圳经济特区商事登记若干规定》为制定依据。故，《实施办法》有明确的上位法依据。</w:t>
      </w:r>
    </w:p>
    <w:p>
      <w:pPr>
        <w:pStyle w:val="6"/>
        <w:keepNext/>
        <w:keepLines/>
        <w:numPr>
          <w:ilvl w:val="0"/>
          <w:numId w:val="9"/>
        </w:numPr>
        <w:spacing w:beforeLines="0" w:afterLines="0"/>
        <w:ind w:left="0" w:firstLine="600" w:firstLineChars="200"/>
        <w:rPr>
          <w:rFonts w:hint="eastAsia" w:ascii="黑体" w:hAnsi="黑体" w:eastAsia="黑体" w:cs="黑体"/>
          <w:b w:val="0"/>
          <w:bCs/>
          <w:sz w:val="30"/>
          <w:szCs w:val="30"/>
          <w:lang w:val="en-US" w:eastAsia="zh-CN"/>
        </w:rPr>
      </w:pPr>
      <w:bookmarkStart w:id="27" w:name="_Toc19885"/>
      <w:r>
        <w:rPr>
          <w:rFonts w:hint="eastAsia" w:ascii="黑体" w:hAnsi="黑体" w:eastAsia="黑体" w:cs="黑体"/>
          <w:b w:val="0"/>
          <w:bCs/>
          <w:sz w:val="30"/>
          <w:szCs w:val="30"/>
          <w:lang w:val="en-US" w:eastAsia="zh-CN"/>
        </w:rPr>
        <w:t>制定程序</w:t>
      </w:r>
      <w:bookmarkEnd w:id="27"/>
    </w:p>
    <w:p>
      <w:pPr>
        <w:keepNext w:val="0"/>
        <w:keepLines w:val="0"/>
        <w:widowControl/>
        <w:suppressLineNumbers w:val="0"/>
        <w:ind w:firstLine="600" w:firstLineChars="200"/>
        <w:jc w:val="left"/>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如前所述，《办法》由深圳市市场监督管理局直属单位深圳市企业注册局牵头，并由信用处等内设机构参与起草。</w:t>
      </w:r>
      <w:r>
        <w:rPr>
          <w:rFonts w:hint="default" w:ascii="仿宋" w:hAnsi="仿宋" w:eastAsia="仿宋" w:cs="仿宋"/>
          <w:b w:val="0"/>
          <w:bCs w:val="0"/>
          <w:kern w:val="2"/>
          <w:sz w:val="30"/>
          <w:szCs w:val="30"/>
          <w:lang w:val="en-US" w:eastAsia="zh-CN" w:bidi="ar-SA"/>
        </w:rPr>
        <w:t>期间历经起草单位内部意见征求阶段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社会公众公开征求意见阶段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组织听证阶段</w:t>
      </w:r>
      <w:r>
        <w:rPr>
          <w:rFonts w:hint="eastAsia" w:ascii="仿宋" w:hAnsi="仿宋" w:eastAsia="仿宋" w:cs="仿宋"/>
          <w:b w:val="0"/>
          <w:bCs w:val="0"/>
          <w:kern w:val="2"/>
          <w:sz w:val="30"/>
          <w:szCs w:val="30"/>
          <w:lang w:val="en-US" w:eastAsia="zh-CN" w:bidi="ar-SA"/>
        </w:rPr>
        <w:t>以及专家论证阶段，</w:t>
      </w:r>
      <w:r>
        <w:rPr>
          <w:rFonts w:hint="default" w:ascii="仿宋" w:hAnsi="仿宋" w:eastAsia="仿宋" w:cs="仿宋"/>
          <w:b w:val="0"/>
          <w:bCs w:val="0"/>
          <w:kern w:val="2"/>
          <w:sz w:val="30"/>
          <w:szCs w:val="30"/>
          <w:lang w:val="en-US" w:eastAsia="zh-CN" w:bidi="ar-SA"/>
        </w:rPr>
        <w:t>并委托第三方进行风险评估</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符合《深圳市人民政府重大行政决策程序规定》第四条</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第五条</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第六条</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第八条</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第九条</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第十条的相关程序规定。</w:t>
      </w:r>
    </w:p>
    <w:p>
      <w:pPr>
        <w:widowControl/>
        <w:ind w:firstLine="600" w:firstLineChars="200"/>
        <w:jc w:val="left"/>
        <w:rPr>
          <w:rFonts w:hint="default"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 xml:space="preserve"> </w:t>
      </w:r>
    </w:p>
    <w:p>
      <w:pPr>
        <w:pStyle w:val="5"/>
        <w:keepNext/>
        <w:keepLines/>
        <w:pageBreakBefore w:val="0"/>
        <w:widowControl w:val="0"/>
        <w:numPr>
          <w:ilvl w:val="0"/>
          <w:numId w:val="8"/>
        </w:numPr>
        <w:kinsoku/>
        <w:wordWrap/>
        <w:overflowPunct/>
        <w:topLinePunct w:val="0"/>
        <w:autoSpaceDE/>
        <w:autoSpaceDN/>
        <w:bidi w:val="0"/>
        <w:adjustRightInd/>
        <w:snapToGrid/>
        <w:spacing w:before="157" w:beforeLines="50" w:after="157" w:afterLines="50" w:line="240" w:lineRule="auto"/>
        <w:ind w:firstLine="600" w:firstLineChars="200"/>
        <w:textAlignment w:val="auto"/>
        <w:rPr>
          <w:rFonts w:hint="default" w:ascii="黑体" w:hAnsi="黑体" w:eastAsia="黑体" w:cs="黑体"/>
          <w:b w:val="0"/>
          <w:bCs w:val="0"/>
          <w:sz w:val="30"/>
          <w:szCs w:val="30"/>
          <w:lang w:val="en-US" w:eastAsia="zh-CN"/>
        </w:rPr>
      </w:pPr>
      <w:bookmarkStart w:id="28" w:name="_Toc29334"/>
      <w:r>
        <w:rPr>
          <w:rFonts w:hint="eastAsia" w:ascii="黑体" w:hAnsi="黑体" w:eastAsia="黑体" w:cs="黑体"/>
          <w:b w:val="0"/>
          <w:bCs w:val="0"/>
          <w:sz w:val="30"/>
          <w:szCs w:val="30"/>
          <w:lang w:val="en-US" w:eastAsia="zh-CN"/>
        </w:rPr>
        <w:t>合理性评估</w:t>
      </w:r>
      <w:bookmarkEnd w:id="28"/>
    </w:p>
    <w:p>
      <w:pPr>
        <w:keepNext w:val="0"/>
        <w:keepLines w:val="0"/>
        <w:pageBreakBefore w:val="0"/>
        <w:widowControl/>
        <w:suppressLineNumbers w:val="0"/>
        <w:kinsoku/>
        <w:wordWrap/>
        <w:overflowPunct/>
        <w:topLinePunct w:val="0"/>
        <w:autoSpaceDE/>
        <w:autoSpaceDN/>
        <w:bidi w:val="0"/>
        <w:adjustRightInd/>
        <w:snapToGrid/>
        <w:ind w:firstLine="600" w:firstLineChars="200"/>
        <w:jc w:val="both"/>
        <w:textAlignment w:val="auto"/>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合理性评估在于评判《实施办法》是否与本地经济社会发展相适应，</w:t>
      </w:r>
      <w:r>
        <w:rPr>
          <w:rFonts w:hint="default" w:ascii="仿宋" w:hAnsi="仿宋" w:eastAsia="仿宋" w:cs="仿宋"/>
          <w:b w:val="0"/>
          <w:bCs w:val="0"/>
          <w:kern w:val="2"/>
          <w:sz w:val="30"/>
          <w:szCs w:val="30"/>
          <w:lang w:val="en-US" w:eastAsia="zh-CN" w:bidi="ar-SA"/>
        </w:rPr>
        <w:t>是否会给</w:t>
      </w:r>
      <w:r>
        <w:rPr>
          <w:rFonts w:hint="eastAsia" w:ascii="仿宋" w:hAnsi="仿宋" w:eastAsia="仿宋" w:cs="仿宋"/>
          <w:b w:val="0"/>
          <w:bCs w:val="0"/>
          <w:kern w:val="2"/>
          <w:sz w:val="30"/>
          <w:szCs w:val="30"/>
          <w:lang w:val="en-US" w:eastAsia="zh-CN" w:bidi="ar-SA"/>
        </w:rPr>
        <w:t>大多数商事主体</w:t>
      </w:r>
      <w:r>
        <w:rPr>
          <w:rFonts w:hint="default" w:ascii="仿宋" w:hAnsi="仿宋" w:eastAsia="仿宋" w:cs="仿宋"/>
          <w:b w:val="0"/>
          <w:bCs w:val="0"/>
          <w:kern w:val="2"/>
          <w:sz w:val="30"/>
          <w:szCs w:val="30"/>
          <w:lang w:val="en-US" w:eastAsia="zh-CN" w:bidi="ar-SA"/>
        </w:rPr>
        <w:t>带来过重经济负担</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造成生产</w:t>
      </w:r>
      <w:r>
        <w:rPr>
          <w:rFonts w:hint="eastAsia" w:ascii="仿宋" w:hAnsi="仿宋" w:eastAsia="仿宋" w:cs="仿宋"/>
          <w:b w:val="0"/>
          <w:bCs w:val="0"/>
          <w:kern w:val="2"/>
          <w:sz w:val="30"/>
          <w:szCs w:val="30"/>
          <w:lang w:val="en-US" w:eastAsia="zh-CN" w:bidi="ar-SA"/>
        </w:rPr>
        <w:t>经营的</w:t>
      </w:r>
      <w:r>
        <w:rPr>
          <w:rFonts w:hint="default" w:ascii="仿宋" w:hAnsi="仿宋" w:eastAsia="仿宋" w:cs="仿宋"/>
          <w:b w:val="0"/>
          <w:bCs w:val="0"/>
          <w:kern w:val="2"/>
          <w:sz w:val="30"/>
          <w:szCs w:val="30"/>
          <w:lang w:val="en-US" w:eastAsia="zh-CN" w:bidi="ar-SA"/>
        </w:rPr>
        <w:t>过多不便</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具体而言</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就是《</w:t>
      </w:r>
      <w:r>
        <w:rPr>
          <w:rFonts w:hint="eastAsia" w:ascii="仿宋" w:hAnsi="仿宋" w:eastAsia="仿宋" w:cs="仿宋"/>
          <w:b w:val="0"/>
          <w:bCs w:val="0"/>
          <w:kern w:val="2"/>
          <w:sz w:val="30"/>
          <w:szCs w:val="30"/>
          <w:lang w:val="en-US" w:eastAsia="zh-CN" w:bidi="ar-SA"/>
        </w:rPr>
        <w:t>实施办法</w:t>
      </w:r>
      <w:r>
        <w:rPr>
          <w:rFonts w:hint="default" w:ascii="仿宋" w:hAnsi="仿宋" w:eastAsia="仿宋" w:cs="仿宋"/>
          <w:b w:val="0"/>
          <w:bCs w:val="0"/>
          <w:kern w:val="2"/>
          <w:sz w:val="30"/>
          <w:szCs w:val="30"/>
          <w:lang w:val="en-US" w:eastAsia="zh-CN" w:bidi="ar-SA"/>
        </w:rPr>
        <w:t>》制定的必要性。综合当前</w:t>
      </w:r>
      <w:r>
        <w:rPr>
          <w:rFonts w:hint="eastAsia" w:ascii="仿宋" w:hAnsi="仿宋" w:eastAsia="仿宋" w:cs="仿宋"/>
          <w:b w:val="0"/>
          <w:bCs w:val="0"/>
          <w:kern w:val="2"/>
          <w:sz w:val="30"/>
          <w:szCs w:val="30"/>
          <w:lang w:val="en-US" w:eastAsia="zh-CN" w:bidi="ar-SA"/>
        </w:rPr>
        <w:t>法律法规的修订情况以及商事主体歇业制度试点的实际情况，</w:t>
      </w:r>
      <w:r>
        <w:rPr>
          <w:rFonts w:hint="default" w:ascii="仿宋" w:hAnsi="仿宋" w:eastAsia="仿宋" w:cs="仿宋"/>
          <w:b w:val="0"/>
          <w:bCs w:val="0"/>
          <w:kern w:val="2"/>
          <w:sz w:val="30"/>
          <w:szCs w:val="30"/>
          <w:lang w:val="en-US" w:eastAsia="zh-CN" w:bidi="ar-SA"/>
        </w:rPr>
        <w:t>《</w:t>
      </w:r>
      <w:r>
        <w:rPr>
          <w:rFonts w:hint="eastAsia" w:ascii="仿宋" w:hAnsi="仿宋" w:eastAsia="仿宋" w:cs="仿宋"/>
          <w:b w:val="0"/>
          <w:bCs w:val="0"/>
          <w:kern w:val="2"/>
          <w:sz w:val="30"/>
          <w:szCs w:val="30"/>
          <w:lang w:val="en-US" w:eastAsia="zh-CN" w:bidi="ar-SA"/>
        </w:rPr>
        <w:t>实施办法</w:t>
      </w:r>
      <w:r>
        <w:rPr>
          <w:rFonts w:hint="default" w:ascii="仿宋" w:hAnsi="仿宋" w:eastAsia="仿宋" w:cs="仿宋"/>
          <w:b w:val="0"/>
          <w:bCs w:val="0"/>
          <w:kern w:val="2"/>
          <w:sz w:val="30"/>
          <w:szCs w:val="30"/>
          <w:lang w:val="en-US" w:eastAsia="zh-CN" w:bidi="ar-SA"/>
        </w:rPr>
        <w:t>》制定的必要性可以归纳为以下</w:t>
      </w:r>
      <w:r>
        <w:rPr>
          <w:rFonts w:hint="eastAsia" w:ascii="仿宋" w:hAnsi="仿宋" w:eastAsia="仿宋" w:cs="仿宋"/>
          <w:b w:val="0"/>
          <w:bCs w:val="0"/>
          <w:kern w:val="2"/>
          <w:sz w:val="30"/>
          <w:szCs w:val="30"/>
          <w:lang w:val="en-US" w:eastAsia="zh-CN" w:bidi="ar-SA"/>
        </w:rPr>
        <w:t>三个方面</w:t>
      </w:r>
      <w:r>
        <w:rPr>
          <w:rFonts w:hint="default" w:ascii="仿宋" w:hAnsi="仿宋" w:eastAsia="仿宋" w:cs="仿宋"/>
          <w:b w:val="0"/>
          <w:bCs w:val="0"/>
          <w:kern w:val="2"/>
          <w:sz w:val="30"/>
          <w:szCs w:val="30"/>
          <w:lang w:val="en-US" w:eastAsia="zh-CN" w:bidi="ar-SA"/>
        </w:rPr>
        <w:t>：</w:t>
      </w:r>
    </w:p>
    <w:p>
      <w:pPr>
        <w:pStyle w:val="6"/>
        <w:keepNext/>
        <w:keepLines/>
        <w:numPr>
          <w:ilvl w:val="0"/>
          <w:numId w:val="10"/>
        </w:numPr>
        <w:spacing w:beforeLines="0" w:afterLines="0"/>
        <w:ind w:firstLine="600" w:firstLineChars="200"/>
        <w:rPr>
          <w:rFonts w:hint="eastAsia" w:ascii="黑体" w:hAnsi="黑体" w:eastAsia="黑体" w:cs="黑体"/>
          <w:b w:val="0"/>
          <w:bCs/>
          <w:sz w:val="30"/>
          <w:szCs w:val="30"/>
          <w:lang w:val="en-US" w:eastAsia="zh-CN"/>
        </w:rPr>
      </w:pPr>
      <w:bookmarkStart w:id="29" w:name="_Toc1230"/>
      <w:r>
        <w:rPr>
          <w:rFonts w:hint="eastAsia" w:ascii="黑体" w:hAnsi="黑体" w:eastAsia="黑体" w:cs="黑体"/>
          <w:b w:val="0"/>
          <w:bCs/>
          <w:kern w:val="2"/>
          <w:sz w:val="30"/>
          <w:szCs w:val="30"/>
          <w:lang w:val="en-US" w:eastAsia="zh-CN" w:bidi="ar-SA"/>
        </w:rPr>
        <w:t>是响应相关法规修订，促进商事主体歇业制度落到实地的应有之意</w:t>
      </w:r>
      <w:bookmarkEnd w:id="29"/>
    </w:p>
    <w:p>
      <w:pPr>
        <w:pStyle w:val="19"/>
        <w:numPr>
          <w:ilvl w:val="0"/>
          <w:numId w:val="0"/>
        </w:numPr>
        <w:ind w:firstLine="600" w:firstLineChars="200"/>
        <w:outlineLvl w:val="9"/>
        <w:rPr>
          <w:rFonts w:hint="eastAsia" w:ascii="黑体" w:hAnsi="黑体" w:eastAsia="黑体" w:cs="黑体"/>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《深圳经济特区商事登记若干规定》</w:t>
      </w:r>
      <w:r>
        <w:rPr>
          <w:rFonts w:hint="eastAsia" w:cs="仿宋"/>
          <w:b w:val="0"/>
          <w:bCs w:val="0"/>
          <w:kern w:val="2"/>
          <w:sz w:val="30"/>
          <w:szCs w:val="30"/>
          <w:lang w:val="en-US" w:eastAsia="zh-CN" w:bidi="ar-SA"/>
        </w:rPr>
        <w:t>于</w:t>
      </w:r>
      <w:r>
        <w:rPr>
          <w:rFonts w:hint="eastAsia" w:ascii="仿宋" w:hAnsi="仿宋" w:eastAsia="仿宋" w:cs="仿宋"/>
          <w:sz w:val="30"/>
          <w:szCs w:val="30"/>
          <w:lang w:val="en-US" w:eastAsia="zh-CN"/>
        </w:rPr>
        <w:t>2021年3月1日</w:t>
      </w:r>
      <w:r>
        <w:rPr>
          <w:rFonts w:hint="eastAsia" w:cs="仿宋"/>
          <w:sz w:val="30"/>
          <w:szCs w:val="30"/>
          <w:lang w:val="en-US" w:eastAsia="zh-CN"/>
        </w:rPr>
        <w:t>颁布</w:t>
      </w:r>
      <w:r>
        <w:rPr>
          <w:rFonts w:hint="eastAsia" w:ascii="仿宋" w:hAnsi="仿宋" w:eastAsia="仿宋" w:cs="仿宋"/>
          <w:sz w:val="30"/>
          <w:szCs w:val="30"/>
          <w:lang w:val="en-US" w:eastAsia="zh-CN"/>
        </w:rPr>
        <w:t>施行</w:t>
      </w:r>
      <w:r>
        <w:rPr>
          <w:rFonts w:hint="eastAsia" w:cs="仿宋"/>
          <w:sz w:val="30"/>
          <w:szCs w:val="30"/>
          <w:lang w:val="en-US" w:eastAsia="zh-CN"/>
        </w:rPr>
        <w:t>，</w:t>
      </w:r>
      <w:r>
        <w:rPr>
          <w:rFonts w:hint="eastAsia" w:ascii="仿宋" w:hAnsi="仿宋" w:eastAsia="仿宋" w:cs="仿宋"/>
          <w:b w:val="0"/>
          <w:bCs w:val="0"/>
          <w:kern w:val="2"/>
          <w:sz w:val="30"/>
          <w:szCs w:val="30"/>
          <w:lang w:val="en-US" w:eastAsia="zh-CN" w:bidi="ar-SA"/>
        </w:rPr>
        <w:t>其第二十五条载明，商事主体需要暂停经营的，可以向商事登记机关办理</w:t>
      </w:r>
      <w:r>
        <w:rPr>
          <w:rFonts w:hint="eastAsia" w:cs="仿宋"/>
          <w:b w:val="0"/>
          <w:bCs w:val="0"/>
          <w:kern w:val="2"/>
          <w:sz w:val="30"/>
          <w:szCs w:val="30"/>
          <w:lang w:val="en-US" w:eastAsia="zh-CN" w:bidi="ar-SA"/>
        </w:rPr>
        <w:t>歇业备案</w:t>
      </w:r>
      <w:r>
        <w:rPr>
          <w:rFonts w:hint="eastAsia" w:ascii="仿宋" w:hAnsi="仿宋" w:eastAsia="仿宋" w:cs="仿宋"/>
          <w:b w:val="0"/>
          <w:bCs w:val="0"/>
          <w:kern w:val="2"/>
          <w:sz w:val="30"/>
          <w:szCs w:val="30"/>
          <w:lang w:val="en-US" w:eastAsia="zh-CN" w:bidi="ar-SA"/>
        </w:rPr>
        <w:t>，歇业期间商事主体存续。</w:t>
      </w:r>
      <w:r>
        <w:rPr>
          <w:rFonts w:hint="eastAsia" w:cs="仿宋"/>
          <w:b w:val="0"/>
          <w:bCs w:val="0"/>
          <w:kern w:val="2"/>
          <w:sz w:val="30"/>
          <w:szCs w:val="30"/>
          <w:lang w:val="en-US" w:eastAsia="zh-CN" w:bidi="ar-SA"/>
        </w:rPr>
        <w:t>将于2022年3月1日起施行的</w:t>
      </w:r>
      <w:r>
        <w:rPr>
          <w:rFonts w:hint="eastAsia" w:ascii="仿宋" w:hAnsi="仿宋" w:eastAsia="仿宋" w:cs="仿宋"/>
          <w:sz w:val="30"/>
          <w:szCs w:val="30"/>
          <w:lang w:val="en-US" w:eastAsia="zh-CN"/>
        </w:rPr>
        <w:t>《市场主体登记管理条例》</w:t>
      </w:r>
      <w:r>
        <w:rPr>
          <w:rFonts w:hint="eastAsia" w:cs="仿宋"/>
          <w:sz w:val="30"/>
          <w:szCs w:val="30"/>
          <w:lang w:val="en-US" w:eastAsia="zh-CN"/>
        </w:rPr>
        <w:t>第三十条亦是明确规定建立商事主体歇业制度，但两部法规仅规定了商事主体歇业制度的原则性内容，并无歇业制度的具体规定亦无歇业申办的程序性规定以及相关配套规定。要将商事主体歇业制度落到实处，就必须制定完善的商事主体歇业实施办法。因此，制定《实施办法》系响应相关法规修订，促进商事主体歇业制度落到实地的重要举措。</w:t>
      </w:r>
    </w:p>
    <w:p>
      <w:pPr>
        <w:pStyle w:val="6"/>
        <w:keepNext/>
        <w:keepLines/>
        <w:numPr>
          <w:ilvl w:val="0"/>
          <w:numId w:val="10"/>
        </w:numPr>
        <w:spacing w:beforeLines="0" w:afterLines="0"/>
        <w:ind w:firstLine="600" w:firstLineChars="200"/>
        <w:outlineLvl w:val="2"/>
        <w:rPr>
          <w:rFonts w:hint="eastAsia" w:ascii="黑体" w:hAnsi="黑体" w:eastAsia="黑体" w:cs="黑体"/>
          <w:b w:val="0"/>
          <w:bCs/>
          <w:kern w:val="2"/>
          <w:sz w:val="30"/>
          <w:szCs w:val="30"/>
          <w:lang w:val="en-US" w:eastAsia="zh-CN" w:bidi="ar-SA"/>
        </w:rPr>
      </w:pPr>
      <w:bookmarkStart w:id="30" w:name="_Toc29695"/>
      <w:r>
        <w:rPr>
          <w:rFonts w:hint="eastAsia" w:ascii="黑体" w:hAnsi="黑体" w:eastAsia="黑体" w:cs="黑体"/>
          <w:b w:val="0"/>
          <w:bCs/>
          <w:kern w:val="2"/>
          <w:sz w:val="30"/>
          <w:szCs w:val="30"/>
          <w:lang w:val="en-US" w:eastAsia="zh-CN" w:bidi="ar-SA"/>
        </w:rPr>
        <w:t>是回应企业的实际诉求、助力中小型企业渡过难关的需要</w:t>
      </w:r>
      <w:bookmarkEnd w:id="30"/>
    </w:p>
    <w:p>
      <w:pPr>
        <w:pStyle w:val="19"/>
        <w:numPr>
          <w:ilvl w:val="0"/>
          <w:numId w:val="0"/>
        </w:numPr>
        <w:ind w:firstLine="600" w:firstLineChars="200"/>
        <w:rPr>
          <w:rFonts w:hint="eastAsia" w:cs="仿宋"/>
          <w:b w:val="0"/>
          <w:bCs w:val="0"/>
          <w:kern w:val="2"/>
          <w:sz w:val="30"/>
          <w:szCs w:val="30"/>
          <w:lang w:val="en-US" w:eastAsia="zh-CN" w:bidi="ar-SA"/>
        </w:rPr>
      </w:pPr>
      <w:r>
        <w:rPr>
          <w:rFonts w:hint="eastAsia" w:cs="仿宋"/>
          <w:b w:val="0"/>
          <w:bCs w:val="0"/>
          <w:kern w:val="2"/>
          <w:sz w:val="30"/>
          <w:szCs w:val="30"/>
          <w:lang w:val="en-US" w:eastAsia="zh-CN" w:bidi="ar-SA"/>
        </w:rPr>
        <w:t>如今，我国新冠疫情虽已基本控制，但是仍在小范围出现反复，受新冠肺炎疫情影响，社会经济受到了很大的冲击。大量企业面临营业收入下行压力，约31%的企业预估疫情导致其2020年营业收入下降幅度超过50%，37%的企业账上现金余额可维持其存续的是时间只有一个月</w:t>
      </w:r>
      <w:r>
        <w:rPr>
          <w:rStyle w:val="18"/>
          <w:rFonts w:hint="eastAsia" w:cs="仿宋"/>
          <w:b w:val="0"/>
          <w:bCs w:val="0"/>
          <w:kern w:val="2"/>
          <w:sz w:val="30"/>
          <w:szCs w:val="30"/>
          <w:lang w:val="en-US" w:eastAsia="zh-CN" w:bidi="ar-SA"/>
        </w:rPr>
        <w:footnoteReference w:id="0"/>
      </w:r>
      <w:r>
        <w:rPr>
          <w:rFonts w:hint="eastAsia" w:cs="仿宋"/>
          <w:b w:val="0"/>
          <w:bCs w:val="0"/>
          <w:kern w:val="2"/>
          <w:sz w:val="30"/>
          <w:szCs w:val="30"/>
          <w:lang w:val="en-US" w:eastAsia="zh-CN" w:bidi="ar-SA"/>
        </w:rPr>
        <w:t>。同时，全国企业破产重整案件信息网的数据表明，2020年1月1日至5月31日，全国已披露的企业破产案件为1.18万件，较2019年同期的6525件增长了44.59%</w:t>
      </w:r>
      <w:r>
        <w:rPr>
          <w:rStyle w:val="18"/>
          <w:rFonts w:hint="eastAsia" w:cs="仿宋"/>
          <w:b w:val="0"/>
          <w:bCs w:val="0"/>
          <w:kern w:val="2"/>
          <w:sz w:val="30"/>
          <w:szCs w:val="30"/>
          <w:lang w:val="en-US" w:eastAsia="zh-CN" w:bidi="ar-SA"/>
        </w:rPr>
        <w:footnoteReference w:id="1"/>
      </w:r>
      <w:r>
        <w:rPr>
          <w:rFonts w:hint="eastAsia" w:cs="仿宋"/>
          <w:b w:val="0"/>
          <w:bCs w:val="0"/>
          <w:kern w:val="2"/>
          <w:sz w:val="30"/>
          <w:szCs w:val="30"/>
          <w:lang w:val="en-US" w:eastAsia="zh-CN" w:bidi="ar-SA"/>
        </w:rPr>
        <w:t>。商事主体无论是重整转型，还是引入资本都需要时间，歇业制度就是从法律规定的角度给予商事主体一定的过渡时间，即认可市场主体在此期间存续的合法性，并明确在此状态下商事主体的权利义务，并使之仍在监管控制之下不至于失踪失联。因此，需要从源头出发，构建歇业制度，在制度安排上形成一种中间状态的规则，缓和设立后停业和退出程序之间的直接对冲，填补中间状态的空白，健全和巩固已经形成的对休眠企业的管理和制度安排。</w:t>
      </w:r>
    </w:p>
    <w:p>
      <w:pPr>
        <w:pStyle w:val="19"/>
        <w:numPr>
          <w:ilvl w:val="0"/>
          <w:numId w:val="0"/>
        </w:numPr>
        <w:ind w:firstLine="600" w:firstLineChars="200"/>
        <w:rPr>
          <w:rFonts w:hint="default" w:cs="仿宋"/>
          <w:b w:val="0"/>
          <w:bCs w:val="0"/>
          <w:kern w:val="2"/>
          <w:sz w:val="30"/>
          <w:szCs w:val="30"/>
          <w:lang w:val="en-US" w:eastAsia="zh-CN" w:bidi="ar-SA"/>
        </w:rPr>
      </w:pPr>
      <w:r>
        <w:rPr>
          <w:rFonts w:hint="eastAsia" w:cs="仿宋"/>
          <w:b w:val="0"/>
          <w:bCs w:val="0"/>
          <w:kern w:val="2"/>
          <w:sz w:val="30"/>
          <w:szCs w:val="30"/>
          <w:lang w:val="en-US" w:eastAsia="zh-CN" w:bidi="ar-SA"/>
        </w:rPr>
        <w:t>另据深圳市企业注册局最新统计数据显示：截至2021年6月底，全市商事主体总量达到366.4万户，继续保持全国大中城市首位。2021年3月1日施行的</w:t>
      </w:r>
      <w:r>
        <w:rPr>
          <w:rFonts w:hint="eastAsia" w:ascii="仿宋" w:hAnsi="仿宋" w:eastAsia="仿宋" w:cs="仿宋"/>
          <w:b w:val="0"/>
          <w:bCs w:val="0"/>
          <w:kern w:val="2"/>
          <w:sz w:val="30"/>
          <w:szCs w:val="30"/>
          <w:lang w:val="en-US" w:eastAsia="zh-CN" w:bidi="ar-SA"/>
        </w:rPr>
        <w:t>《深圳经济特区商事登记若干规定》</w:t>
      </w:r>
      <w:r>
        <w:rPr>
          <w:rFonts w:hint="eastAsia" w:cs="仿宋"/>
          <w:b w:val="0"/>
          <w:bCs w:val="0"/>
          <w:kern w:val="2"/>
          <w:sz w:val="30"/>
          <w:szCs w:val="30"/>
          <w:lang w:val="en-US" w:eastAsia="zh-CN" w:bidi="ar-SA"/>
        </w:rPr>
        <w:t>在全国首创“歇业制度”，社会反响强烈。这表明，“歇业制度”有着强烈的现实需求，</w:t>
      </w:r>
      <w:r>
        <w:rPr>
          <w:rFonts w:hint="eastAsia" w:ascii="仿宋" w:hAnsi="仿宋" w:eastAsia="仿宋" w:cs="仿宋"/>
          <w:b w:val="0"/>
          <w:bCs w:val="0"/>
          <w:kern w:val="2"/>
          <w:sz w:val="30"/>
          <w:szCs w:val="30"/>
          <w:lang w:val="en-US" w:eastAsia="zh-CN" w:bidi="ar-SA"/>
        </w:rPr>
        <w:t>《深圳经济特区商事登记若干规定》</w:t>
      </w:r>
      <w:r>
        <w:rPr>
          <w:rFonts w:hint="eastAsia" w:cs="仿宋"/>
          <w:b w:val="0"/>
          <w:bCs w:val="0"/>
          <w:kern w:val="2"/>
          <w:sz w:val="30"/>
          <w:szCs w:val="30"/>
          <w:lang w:val="en-US" w:eastAsia="zh-CN" w:bidi="ar-SA"/>
        </w:rPr>
        <w:t>首创的“歇业制度”不仅不会带来社会稳定风险以及公共安全问题，还亟需细化，以加快落地。</w:t>
      </w:r>
    </w:p>
    <w:p>
      <w:pPr>
        <w:pStyle w:val="6"/>
        <w:keepNext/>
        <w:keepLines/>
        <w:numPr>
          <w:ilvl w:val="0"/>
          <w:numId w:val="10"/>
        </w:numPr>
        <w:spacing w:beforeLines="0" w:afterLines="0"/>
        <w:ind w:firstLine="600" w:firstLineChars="200"/>
        <w:rPr>
          <w:rFonts w:hint="eastAsia" w:ascii="黑体" w:hAnsi="黑体" w:eastAsia="黑体" w:cs="黑体"/>
          <w:b w:val="0"/>
          <w:bCs/>
          <w:kern w:val="2"/>
          <w:sz w:val="30"/>
          <w:szCs w:val="30"/>
          <w:lang w:val="en-US" w:eastAsia="zh-CN" w:bidi="ar-SA"/>
        </w:rPr>
      </w:pPr>
      <w:bookmarkStart w:id="31" w:name="_Toc31441"/>
      <w:r>
        <w:rPr>
          <w:rFonts w:hint="eastAsia" w:ascii="黑体" w:hAnsi="黑体" w:eastAsia="黑体" w:cs="黑体"/>
          <w:b w:val="0"/>
          <w:bCs/>
          <w:kern w:val="2"/>
          <w:sz w:val="30"/>
          <w:szCs w:val="30"/>
          <w:lang w:val="en-US" w:eastAsia="zh-CN" w:bidi="ar-SA"/>
        </w:rPr>
        <w:t>有利于提高市场监管效能，优化营商环境</w:t>
      </w:r>
      <w:bookmarkEnd w:id="31"/>
    </w:p>
    <w:p>
      <w:pPr>
        <w:pStyle w:val="19"/>
        <w:ind w:firstLine="560"/>
        <w:rPr>
          <w:rFonts w:hint="eastAsia" w:cs="仿宋"/>
          <w:b w:val="0"/>
          <w:bCs w:val="0"/>
          <w:kern w:val="2"/>
          <w:sz w:val="30"/>
          <w:szCs w:val="30"/>
          <w:lang w:val="en-US" w:eastAsia="zh-CN" w:bidi="ar-SA"/>
        </w:rPr>
      </w:pPr>
      <w:r>
        <w:rPr>
          <w:rFonts w:hint="eastAsia" w:cs="仿宋"/>
          <w:b w:val="0"/>
          <w:bCs w:val="0"/>
          <w:kern w:val="2"/>
          <w:sz w:val="30"/>
          <w:szCs w:val="30"/>
          <w:lang w:val="en-US" w:eastAsia="zh-CN" w:bidi="ar-SA"/>
        </w:rPr>
        <w:t>诚然，如果市场上存在大量长期未营业的公司，将影响市场秩序，增加市场监管难度。通过建立歇业制度，市场监管部门可以掌握企业发展的真实情况，避免该类企业因长时间不营业遭到行政权力的不当干预，同时也便利市场监管部门进行监管。此外，如果大量企业长期不营业而进入经营异常名录等信用监管范畴会影响当地营商环境评价，给外界留下商事主体缺乏活跃度、市场发展质量不高的负面印象，继而影响社会与经济的发展。因此，建立歇业制度，允许企业在一定时间内暂停营业活动有助于准确反映市场情况，并在此基础上提高市场监管质效，营造良好市场环境。</w:t>
      </w:r>
    </w:p>
    <w:p>
      <w:pPr>
        <w:pStyle w:val="19"/>
        <w:ind w:firstLine="560"/>
        <w:rPr>
          <w:rFonts w:hint="eastAsia" w:cs="仿宋"/>
          <w:b w:val="0"/>
          <w:bCs w:val="0"/>
          <w:kern w:val="2"/>
          <w:sz w:val="30"/>
          <w:szCs w:val="30"/>
          <w:lang w:val="en-US" w:eastAsia="zh-CN" w:bidi="ar-SA"/>
        </w:rPr>
      </w:pPr>
    </w:p>
    <w:p>
      <w:pPr>
        <w:pStyle w:val="5"/>
        <w:keepNext/>
        <w:keepLines/>
        <w:pageBreakBefore w:val="0"/>
        <w:widowControl w:val="0"/>
        <w:numPr>
          <w:ilvl w:val="0"/>
          <w:numId w:val="8"/>
        </w:numPr>
        <w:kinsoku/>
        <w:wordWrap/>
        <w:overflowPunct/>
        <w:topLinePunct w:val="0"/>
        <w:autoSpaceDE/>
        <w:autoSpaceDN/>
        <w:bidi w:val="0"/>
        <w:adjustRightInd/>
        <w:snapToGrid/>
        <w:spacing w:before="157" w:beforeLines="50" w:after="157" w:afterLines="50" w:line="240" w:lineRule="auto"/>
        <w:ind w:firstLine="600" w:firstLineChars="200"/>
        <w:textAlignment w:val="auto"/>
        <w:rPr>
          <w:rFonts w:hint="default" w:ascii="黑体" w:hAnsi="黑体" w:eastAsia="黑体" w:cs="黑体"/>
          <w:b w:val="0"/>
          <w:bCs w:val="0"/>
          <w:sz w:val="30"/>
          <w:szCs w:val="30"/>
          <w:lang w:val="en-US" w:eastAsia="zh-CN"/>
        </w:rPr>
      </w:pPr>
      <w:bookmarkStart w:id="32" w:name="_Toc22363"/>
      <w:r>
        <w:rPr>
          <w:rFonts w:hint="eastAsia" w:ascii="黑体" w:hAnsi="黑体" w:eastAsia="黑体" w:cs="黑体"/>
          <w:b w:val="0"/>
          <w:bCs w:val="0"/>
          <w:sz w:val="30"/>
          <w:szCs w:val="30"/>
          <w:lang w:val="en-US" w:eastAsia="zh-CN"/>
        </w:rPr>
        <w:t>可行性评估</w:t>
      </w:r>
      <w:bookmarkEnd w:id="32"/>
    </w:p>
    <w:p>
      <w:pPr>
        <w:keepNext w:val="0"/>
        <w:keepLines w:val="0"/>
        <w:widowControl/>
        <w:suppressLineNumbers w:val="0"/>
        <w:ind w:firstLine="600" w:firstLineChars="200"/>
        <w:jc w:val="left"/>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可行性评估在于评判《实施办法》的实施</w:t>
      </w:r>
      <w:r>
        <w:rPr>
          <w:rFonts w:hint="default" w:ascii="仿宋" w:hAnsi="仿宋" w:eastAsia="仿宋" w:cs="仿宋"/>
          <w:b w:val="0"/>
          <w:bCs w:val="0"/>
          <w:kern w:val="2"/>
          <w:sz w:val="30"/>
          <w:szCs w:val="30"/>
          <w:lang w:val="en-US" w:eastAsia="zh-CN" w:bidi="ar-SA"/>
        </w:rPr>
        <w:t>时机是否周密</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成熟</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符合地区</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行业发展需求。</w:t>
      </w:r>
      <w:r>
        <w:rPr>
          <w:rFonts w:hint="eastAsia" w:ascii="仿宋" w:hAnsi="仿宋" w:eastAsia="仿宋" w:cs="仿宋"/>
          <w:b w:val="0"/>
          <w:bCs w:val="0"/>
          <w:kern w:val="2"/>
          <w:sz w:val="30"/>
          <w:szCs w:val="30"/>
          <w:lang w:val="en-US" w:eastAsia="zh-CN" w:bidi="ar-SA"/>
        </w:rPr>
        <w:t>决策承办单位在长期调研，综合借鉴香港、欧美等先进模式</w:t>
      </w:r>
      <w:r>
        <w:rPr>
          <w:rFonts w:hint="default" w:ascii="仿宋" w:hAnsi="仿宋" w:eastAsia="仿宋" w:cs="仿宋"/>
          <w:b w:val="0"/>
          <w:bCs w:val="0"/>
          <w:kern w:val="2"/>
          <w:sz w:val="30"/>
          <w:szCs w:val="30"/>
          <w:lang w:val="en-US" w:eastAsia="zh-CN" w:bidi="ar-SA"/>
        </w:rPr>
        <w:t>的基础上完成《</w:t>
      </w:r>
      <w:r>
        <w:rPr>
          <w:rFonts w:hint="eastAsia" w:ascii="仿宋" w:hAnsi="仿宋" w:eastAsia="仿宋" w:cs="仿宋"/>
          <w:b w:val="0"/>
          <w:bCs w:val="0"/>
          <w:kern w:val="2"/>
          <w:sz w:val="30"/>
          <w:szCs w:val="30"/>
          <w:lang w:val="en-US" w:eastAsia="zh-CN" w:bidi="ar-SA"/>
        </w:rPr>
        <w:t>实施办法</w:t>
      </w:r>
      <w:r>
        <w:rPr>
          <w:rFonts w:hint="default" w:ascii="仿宋" w:hAnsi="仿宋" w:eastAsia="仿宋" w:cs="仿宋"/>
          <w:b w:val="0"/>
          <w:bCs w:val="0"/>
          <w:kern w:val="2"/>
          <w:sz w:val="30"/>
          <w:szCs w:val="30"/>
          <w:lang w:val="en-US" w:eastAsia="zh-CN" w:bidi="ar-SA"/>
        </w:rPr>
        <w:t>》制定</w:t>
      </w:r>
      <w:r>
        <w:rPr>
          <w:rFonts w:hint="eastAsia" w:ascii="仿宋" w:hAnsi="仿宋" w:eastAsia="仿宋" w:cs="仿宋"/>
          <w:b w:val="0"/>
          <w:bCs w:val="0"/>
          <w:kern w:val="2"/>
          <w:sz w:val="30"/>
          <w:szCs w:val="30"/>
          <w:lang w:val="en-US" w:eastAsia="zh-CN" w:bidi="ar-SA"/>
        </w:rPr>
        <w:t>，其</w:t>
      </w:r>
      <w:r>
        <w:rPr>
          <w:rFonts w:hint="default" w:ascii="仿宋" w:hAnsi="仿宋" w:eastAsia="仿宋" w:cs="仿宋"/>
          <w:b w:val="0"/>
          <w:bCs w:val="0"/>
          <w:kern w:val="2"/>
          <w:sz w:val="30"/>
          <w:szCs w:val="30"/>
          <w:lang w:val="en-US" w:eastAsia="zh-CN" w:bidi="ar-SA"/>
        </w:rPr>
        <w:t>实施的可行性主要体现在以下几个方面：</w:t>
      </w:r>
      <w:r>
        <w:rPr>
          <w:rFonts w:hint="eastAsia" w:ascii="黑体" w:hAnsi="黑体" w:eastAsia="黑体" w:cs="黑体"/>
          <w:b w:val="0"/>
          <w:bCs/>
          <w:kern w:val="2"/>
          <w:sz w:val="30"/>
          <w:szCs w:val="30"/>
          <w:lang w:val="en-US" w:eastAsia="zh-CN" w:bidi="ar-SA"/>
        </w:rPr>
        <w:t xml:space="preserve">                             </w:t>
      </w:r>
    </w:p>
    <w:p>
      <w:pPr>
        <w:pStyle w:val="6"/>
        <w:keepNext/>
        <w:keepLines/>
        <w:numPr>
          <w:ilvl w:val="0"/>
          <w:numId w:val="11"/>
        </w:numPr>
        <w:spacing w:beforeLines="0" w:afterLines="0"/>
        <w:ind w:firstLine="600" w:firstLineChars="200"/>
        <w:rPr>
          <w:rFonts w:hint="eastAsia" w:ascii="黑体" w:hAnsi="黑体" w:eastAsia="黑体" w:cs="黑体"/>
          <w:b w:val="0"/>
          <w:bCs/>
          <w:kern w:val="2"/>
          <w:sz w:val="30"/>
          <w:szCs w:val="30"/>
          <w:lang w:val="en-US" w:eastAsia="zh-CN" w:bidi="ar-SA"/>
        </w:rPr>
      </w:pPr>
      <w:bookmarkStart w:id="33" w:name="_Toc25649"/>
      <w:r>
        <w:rPr>
          <w:rFonts w:hint="eastAsia" w:ascii="黑体" w:hAnsi="黑体" w:eastAsia="黑体" w:cs="黑体"/>
          <w:b w:val="0"/>
          <w:bCs/>
          <w:kern w:val="2"/>
          <w:sz w:val="30"/>
          <w:szCs w:val="30"/>
          <w:lang w:val="en-US" w:eastAsia="zh-CN" w:bidi="ar-SA"/>
        </w:rPr>
        <w:t>信用监管体制的初步建立，为歇业制度提供了保障</w:t>
      </w:r>
      <w:bookmarkEnd w:id="33"/>
    </w:p>
    <w:p>
      <w:pPr>
        <w:keepNext w:val="0"/>
        <w:keepLines w:val="0"/>
        <w:widowControl/>
        <w:suppressLineNumbers w:val="0"/>
        <w:ind w:firstLine="600" w:firstLineChars="200"/>
        <w:jc w:val="both"/>
        <w:rPr>
          <w:rFonts w:hint="default" w:ascii="仿宋" w:hAnsi="仿宋" w:eastAsia="仿宋" w:cs="仿宋"/>
          <w:b w:val="0"/>
          <w:bCs w:val="0"/>
          <w:kern w:val="2"/>
          <w:sz w:val="30"/>
          <w:szCs w:val="30"/>
          <w:lang w:val="en-US" w:eastAsia="zh-CN" w:bidi="ar-SA"/>
        </w:rPr>
      </w:pPr>
      <w:r>
        <w:rPr>
          <w:rFonts w:hint="eastAsia" w:ascii="黑体" w:hAnsi="黑体" w:eastAsia="黑体" w:cs="黑体"/>
          <w:b w:val="0"/>
          <w:bCs/>
          <w:kern w:val="2"/>
          <w:sz w:val="30"/>
          <w:szCs w:val="30"/>
          <w:lang w:val="en-US" w:eastAsia="zh-CN" w:bidi="ar-SA"/>
        </w:rPr>
        <w:t xml:space="preserve"> </w:t>
      </w:r>
      <w:r>
        <w:rPr>
          <w:rFonts w:hint="default" w:ascii="仿宋" w:hAnsi="仿宋" w:eastAsia="仿宋" w:cs="仿宋"/>
          <w:b w:val="0"/>
          <w:bCs w:val="0"/>
          <w:kern w:val="2"/>
          <w:sz w:val="30"/>
          <w:szCs w:val="30"/>
          <w:lang w:val="en-US" w:eastAsia="zh-CN" w:bidi="ar-SA"/>
        </w:rPr>
        <w:t>随着公司资本制度改革，公司强制年检制度已被废除，取而代之的是由《企业信息公示暂行条例》所确定企业年度报告制度，要求“企业应当于每年1月1日至6月30日，通过企业信用信息公示系统向工商行政管理部门报送上一年度年度报告，并向社会公示”(第</w:t>
      </w:r>
      <w:r>
        <w:rPr>
          <w:rFonts w:hint="eastAsia" w:ascii="仿宋" w:hAnsi="仿宋" w:eastAsia="仿宋" w:cs="仿宋"/>
          <w:b w:val="0"/>
          <w:bCs w:val="0"/>
          <w:kern w:val="2"/>
          <w:sz w:val="30"/>
          <w:szCs w:val="30"/>
          <w:lang w:val="en-US" w:eastAsia="zh-CN" w:bidi="ar-SA"/>
        </w:rPr>
        <w:t>八</w:t>
      </w:r>
      <w:r>
        <w:rPr>
          <w:rFonts w:hint="default" w:ascii="仿宋" w:hAnsi="仿宋" w:eastAsia="仿宋" w:cs="仿宋"/>
          <w:b w:val="0"/>
          <w:bCs w:val="0"/>
          <w:kern w:val="2"/>
          <w:sz w:val="30"/>
          <w:szCs w:val="30"/>
          <w:lang w:val="en-US" w:eastAsia="zh-CN" w:bidi="ar-SA"/>
        </w:rPr>
        <w:t>条)。该条例通过建立企业信息强制披露制度，健全信用约束机制，企业</w:t>
      </w:r>
      <w:r>
        <w:rPr>
          <w:rFonts w:hint="eastAsia" w:ascii="仿宋" w:hAnsi="仿宋" w:eastAsia="仿宋" w:cs="仿宋"/>
          <w:b w:val="0"/>
          <w:bCs w:val="0"/>
          <w:kern w:val="2"/>
          <w:sz w:val="30"/>
          <w:szCs w:val="30"/>
          <w:lang w:val="en-US" w:eastAsia="zh-CN" w:bidi="ar-SA"/>
        </w:rPr>
        <w:t>存在</w:t>
      </w:r>
      <w:r>
        <w:rPr>
          <w:rFonts w:hint="default" w:ascii="仿宋" w:hAnsi="仿宋" w:eastAsia="仿宋" w:cs="仿宋"/>
          <w:b w:val="0"/>
          <w:bCs w:val="0"/>
          <w:kern w:val="2"/>
          <w:sz w:val="30"/>
          <w:szCs w:val="30"/>
          <w:lang w:val="en-US" w:eastAsia="zh-CN" w:bidi="ar-SA"/>
        </w:rPr>
        <w:t>未如期公示年度报告或信息不实</w:t>
      </w:r>
      <w:r>
        <w:rPr>
          <w:rFonts w:hint="eastAsia" w:ascii="仿宋" w:hAnsi="仿宋" w:eastAsia="仿宋" w:cs="仿宋"/>
          <w:b w:val="0"/>
          <w:bCs w:val="0"/>
          <w:kern w:val="2"/>
          <w:sz w:val="30"/>
          <w:szCs w:val="30"/>
          <w:lang w:val="en-US" w:eastAsia="zh-CN" w:bidi="ar-SA"/>
        </w:rPr>
        <w:t>等行为，将被</w:t>
      </w:r>
      <w:r>
        <w:rPr>
          <w:rFonts w:hint="default" w:ascii="仿宋" w:hAnsi="仿宋" w:eastAsia="仿宋" w:cs="仿宋"/>
          <w:b w:val="0"/>
          <w:bCs w:val="0"/>
          <w:kern w:val="2"/>
          <w:sz w:val="30"/>
          <w:szCs w:val="30"/>
          <w:lang w:val="en-US" w:eastAsia="zh-CN" w:bidi="ar-SA"/>
        </w:rPr>
        <w:t>列入经营异常名录、严重违法企业名单等之中，并向社会公示。这种企业信息强制公开制度开辟了</w:t>
      </w:r>
      <w:r>
        <w:rPr>
          <w:rFonts w:hint="eastAsia" w:ascii="仿宋" w:hAnsi="仿宋" w:eastAsia="仿宋" w:cs="仿宋"/>
          <w:b w:val="0"/>
          <w:bCs w:val="0"/>
          <w:kern w:val="2"/>
          <w:sz w:val="30"/>
          <w:szCs w:val="30"/>
          <w:lang w:val="en-US" w:eastAsia="zh-CN" w:bidi="ar-SA"/>
        </w:rPr>
        <w:t>商事主体信用监管</w:t>
      </w:r>
      <w:r>
        <w:rPr>
          <w:rFonts w:hint="default" w:ascii="仿宋" w:hAnsi="仿宋" w:eastAsia="仿宋" w:cs="仿宋"/>
          <w:b w:val="0"/>
          <w:bCs w:val="0"/>
          <w:kern w:val="2"/>
          <w:sz w:val="30"/>
          <w:szCs w:val="30"/>
          <w:lang w:val="en-US" w:eastAsia="zh-CN" w:bidi="ar-SA"/>
        </w:rPr>
        <w:t>的新途径，将过去单纯依赖行政治理转向社会治理、法治治理。</w:t>
      </w:r>
    </w:p>
    <w:p>
      <w:pPr>
        <w:keepNext w:val="0"/>
        <w:keepLines w:val="0"/>
        <w:widowControl/>
        <w:suppressLineNumbers w:val="0"/>
        <w:ind w:firstLine="600" w:firstLineChars="200"/>
        <w:jc w:val="both"/>
        <w:rPr>
          <w:rFonts w:hint="eastAsia" w:ascii="黑体" w:hAnsi="黑体" w:eastAsia="黑体" w:cs="黑体"/>
          <w:b w:val="0"/>
          <w:bCs/>
          <w:kern w:val="2"/>
          <w:sz w:val="30"/>
          <w:szCs w:val="30"/>
          <w:lang w:val="en-US" w:eastAsia="zh-CN" w:bidi="ar-SA"/>
        </w:rPr>
      </w:pPr>
      <w:r>
        <w:rPr>
          <w:rFonts w:hint="eastAsia" w:ascii="仿宋" w:hAnsi="仿宋" w:eastAsia="仿宋" w:cs="仿宋"/>
          <w:b w:val="0"/>
          <w:bCs w:val="0"/>
          <w:kern w:val="2"/>
          <w:sz w:val="30"/>
          <w:szCs w:val="30"/>
          <w:lang w:val="en-US" w:eastAsia="zh-CN" w:bidi="ar-SA"/>
        </w:rPr>
        <w:t>此外，决策承办单位深圳市市场监督管理局坚持把信用监管作为一项战略性任务和基础性工程来抓，不断加强信用基础设施建设，推动信用监管机制改革，着力健全信用应用机制，持续深化诚信宣传教育。2020年，深圳市商事信用信息及事中事后智慧监管系统接入政府部门31个，检查事项清单560个，“双随机、一公开”监管年度检查任务完成220余万次，识别出1.7万家疑似“空壳公司”，对辖区商事主体基本实现定向抽查、精准监管</w:t>
      </w:r>
      <w:r>
        <w:rPr>
          <w:rStyle w:val="18"/>
          <w:rFonts w:hint="eastAsia" w:ascii="仿宋" w:hAnsi="仿宋" w:eastAsia="仿宋" w:cs="仿宋"/>
          <w:b w:val="0"/>
          <w:bCs w:val="0"/>
          <w:kern w:val="2"/>
          <w:sz w:val="30"/>
          <w:szCs w:val="30"/>
          <w:lang w:val="en-US" w:eastAsia="zh-CN" w:bidi="ar-SA"/>
        </w:rPr>
        <w:footnoteReference w:id="2"/>
      </w:r>
      <w:r>
        <w:rPr>
          <w:rFonts w:hint="eastAsia" w:ascii="仿宋" w:hAnsi="仿宋" w:eastAsia="仿宋" w:cs="仿宋"/>
          <w:b w:val="0"/>
          <w:bCs w:val="0"/>
          <w:kern w:val="2"/>
          <w:sz w:val="30"/>
          <w:szCs w:val="30"/>
          <w:lang w:val="en-US" w:eastAsia="zh-CN" w:bidi="ar-SA"/>
        </w:rPr>
        <w:t>。监管方式的组织化、智能化有利于</w:t>
      </w:r>
      <w:r>
        <w:rPr>
          <w:rFonts w:hint="default" w:ascii="仿宋" w:hAnsi="仿宋" w:eastAsia="仿宋" w:cs="仿宋"/>
          <w:b w:val="0"/>
          <w:bCs w:val="0"/>
          <w:kern w:val="2"/>
          <w:sz w:val="30"/>
          <w:szCs w:val="30"/>
          <w:lang w:val="en-US" w:eastAsia="zh-CN" w:bidi="ar-SA"/>
        </w:rPr>
        <w:t>及时</w:t>
      </w:r>
      <w:r>
        <w:rPr>
          <w:rFonts w:hint="eastAsia" w:ascii="仿宋" w:hAnsi="仿宋" w:eastAsia="仿宋" w:cs="仿宋"/>
          <w:b w:val="0"/>
          <w:bCs w:val="0"/>
          <w:kern w:val="2"/>
          <w:sz w:val="30"/>
          <w:szCs w:val="30"/>
          <w:lang w:val="en-US" w:eastAsia="zh-CN" w:bidi="ar-SA"/>
        </w:rPr>
        <w:t>掌</w:t>
      </w:r>
      <w:r>
        <w:rPr>
          <w:rFonts w:hint="default" w:ascii="仿宋" w:hAnsi="仿宋" w:eastAsia="仿宋" w:cs="仿宋"/>
          <w:b w:val="0"/>
          <w:bCs w:val="0"/>
          <w:kern w:val="2"/>
          <w:sz w:val="30"/>
          <w:szCs w:val="30"/>
          <w:lang w:val="en-US" w:eastAsia="zh-CN" w:bidi="ar-SA"/>
        </w:rPr>
        <w:t>握歇业企业的情况</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发现违法违规线索</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提升风险预判能力和风险处置能力</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确保监管精准有效。</w:t>
      </w:r>
    </w:p>
    <w:p>
      <w:pPr>
        <w:pStyle w:val="6"/>
        <w:keepNext/>
        <w:keepLines/>
        <w:numPr>
          <w:ilvl w:val="0"/>
          <w:numId w:val="11"/>
        </w:numPr>
        <w:spacing w:beforeLines="0" w:afterLines="0"/>
        <w:ind w:firstLine="600" w:firstLineChars="200"/>
        <w:rPr>
          <w:rFonts w:hint="eastAsia" w:ascii="黑体" w:hAnsi="黑体" w:eastAsia="黑体" w:cs="黑体"/>
          <w:b w:val="0"/>
          <w:bCs/>
          <w:kern w:val="2"/>
          <w:sz w:val="30"/>
          <w:szCs w:val="30"/>
          <w:lang w:val="en-US" w:eastAsia="zh-CN" w:bidi="ar-SA"/>
        </w:rPr>
      </w:pPr>
      <w:bookmarkStart w:id="34" w:name="_Toc13825"/>
      <w:r>
        <w:rPr>
          <w:rFonts w:hint="eastAsia" w:ascii="黑体" w:hAnsi="黑体" w:eastAsia="黑体" w:cs="黑体"/>
          <w:b w:val="0"/>
          <w:bCs/>
          <w:kern w:val="2"/>
          <w:sz w:val="30"/>
          <w:szCs w:val="30"/>
          <w:lang w:val="en-US" w:eastAsia="zh-CN" w:bidi="ar-SA"/>
        </w:rPr>
        <w:t>试点经验的积累促进了《实施办法》的可操作性</w:t>
      </w:r>
      <w:bookmarkEnd w:id="34"/>
    </w:p>
    <w:p>
      <w:pPr>
        <w:keepNext w:val="0"/>
        <w:keepLines w:val="0"/>
        <w:widowControl/>
        <w:suppressLineNumbers w:val="0"/>
        <w:ind w:firstLine="600" w:firstLineChars="200"/>
        <w:jc w:val="both"/>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2021年3月1日，《深圳经济特区商事登记若干规定》开始施行，其中第二十五条设立了歇业制度。为更好地深入贯彻落实《若干规定》，深圳于2021年3月15日在前海深港现代化服务业合作区和宝安区试点实施歇业制度。根据试点方案，在该辖区内设立登记1年以上、无不良信用记录、非预付费经营项目等符合条件的各类市场主体可以根据其经营情况申请歇业备案，歇业时间最长不超过2年，歇业期间主体存续。市场主体进行歇业申报后，不以“自行停业”进行处罚，不会因地址无法联系而纳入异常名录，也不得从事与取得经营资格有关的相关活动，不免除其原有的债权债务或其他处罚</w:t>
      </w:r>
      <w:r>
        <w:rPr>
          <w:rStyle w:val="18"/>
          <w:rFonts w:hint="eastAsia" w:ascii="仿宋" w:hAnsi="仿宋" w:eastAsia="仿宋" w:cs="仿宋"/>
          <w:b w:val="0"/>
          <w:bCs w:val="0"/>
          <w:kern w:val="2"/>
          <w:sz w:val="30"/>
          <w:szCs w:val="30"/>
          <w:lang w:val="en-US" w:eastAsia="zh-CN" w:bidi="ar-SA"/>
        </w:rPr>
        <w:footnoteReference w:id="3"/>
      </w:r>
      <w:r>
        <w:rPr>
          <w:rFonts w:hint="eastAsia" w:ascii="仿宋" w:hAnsi="仿宋" w:eastAsia="仿宋" w:cs="仿宋"/>
          <w:b w:val="0"/>
          <w:bCs w:val="0"/>
          <w:kern w:val="2"/>
          <w:sz w:val="30"/>
          <w:szCs w:val="30"/>
          <w:lang w:val="en-US" w:eastAsia="zh-CN" w:bidi="ar-SA"/>
        </w:rPr>
        <w:t>。</w:t>
      </w:r>
    </w:p>
    <w:p>
      <w:pPr>
        <w:keepNext w:val="0"/>
        <w:keepLines w:val="0"/>
        <w:widowControl/>
        <w:suppressLineNumbers w:val="0"/>
        <w:ind w:firstLine="600" w:firstLineChars="200"/>
        <w:jc w:val="both"/>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对歇业企业监管也是较为严格的。歇业的市场主体违反信用承诺，存在从事预付项目、被调查或起诉或从事经营活动行为的，由登记机关撤销歇业并列入异常名录，其对作出信用承诺的相关责任人纳入联合惩戒信用体系。若该市场主体在歇业期间仍无法恢复经营，可以办理注销退出市场，配套适用若干规定中的简易注销程序。若歇业期满六个月以上仍不办理终止歇业，则视同“自行停业连续六个月以上”，该市场主体按规定可吊销营业执照；被吊销六个月以上不办理注销申请的，商事登记机关可以对其按规定作出依职权注销决定。</w:t>
      </w:r>
    </w:p>
    <w:p>
      <w:pPr>
        <w:keepNext w:val="0"/>
        <w:keepLines w:val="0"/>
        <w:widowControl/>
        <w:suppressLineNumbers w:val="0"/>
        <w:ind w:firstLine="600" w:firstLineChars="200"/>
        <w:jc w:val="both"/>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自歇业制度试点启动以来，深圳市行政服务大厅窗口和咨询热线共接受了百余人次咨询，主要围绕歇业的条件、如何申请及歇业的恢复等内容</w:t>
      </w:r>
      <w:r>
        <w:rPr>
          <w:rStyle w:val="18"/>
          <w:rFonts w:hint="eastAsia" w:ascii="仿宋" w:hAnsi="仿宋" w:eastAsia="仿宋" w:cs="仿宋"/>
          <w:b w:val="0"/>
          <w:bCs w:val="0"/>
          <w:kern w:val="2"/>
          <w:sz w:val="30"/>
          <w:szCs w:val="30"/>
          <w:lang w:val="en-US" w:eastAsia="zh-CN" w:bidi="ar-SA"/>
        </w:rPr>
        <w:footnoteReference w:id="4"/>
      </w:r>
      <w:r>
        <w:rPr>
          <w:rFonts w:hint="eastAsia" w:ascii="仿宋" w:hAnsi="仿宋" w:eastAsia="仿宋" w:cs="仿宋"/>
          <w:b w:val="0"/>
          <w:bCs w:val="0"/>
          <w:kern w:val="2"/>
          <w:sz w:val="30"/>
          <w:szCs w:val="30"/>
          <w:lang w:val="en-US" w:eastAsia="zh-CN" w:bidi="ar-SA"/>
        </w:rPr>
        <w:t>。且两试点地区市场监管部门已为11家商事主体办理了歇业备案，主要涉及跨境电商贸易、商务服务、科技类等行业领域</w:t>
      </w:r>
      <w:r>
        <w:rPr>
          <w:rStyle w:val="18"/>
          <w:rFonts w:hint="eastAsia" w:ascii="仿宋" w:hAnsi="仿宋" w:eastAsia="仿宋" w:cs="仿宋"/>
          <w:b w:val="0"/>
          <w:bCs w:val="0"/>
          <w:kern w:val="2"/>
          <w:sz w:val="30"/>
          <w:szCs w:val="30"/>
          <w:lang w:val="en-US" w:eastAsia="zh-CN" w:bidi="ar-SA"/>
        </w:rPr>
        <w:footnoteReference w:id="5"/>
      </w:r>
      <w:r>
        <w:rPr>
          <w:rFonts w:hint="eastAsia" w:ascii="仿宋" w:hAnsi="仿宋" w:eastAsia="仿宋" w:cs="仿宋"/>
          <w:b w:val="0"/>
          <w:bCs w:val="0"/>
          <w:kern w:val="2"/>
          <w:sz w:val="30"/>
          <w:szCs w:val="30"/>
          <w:lang w:val="en-US" w:eastAsia="zh-CN" w:bidi="ar-SA"/>
        </w:rPr>
        <w:t>。从试点情况看，这一制度使商事主体降低了保留资格的成本，又有效减少了社会资源的浪费，对于营造宽松良好的营商环境具有重要意义。而《实施办法》正是在总结试点经验的基础上提炼出商事主体歇业制度的具体内容、法律后果、行政监管以及申办的程序规定等，从实践中提炼出规则，并通过立法的形式对加以固定，进而服务于实践，极大地增强了《实施办法》的可操作性。</w:t>
      </w:r>
    </w:p>
    <w:p>
      <w:pPr>
        <w:pStyle w:val="6"/>
        <w:keepNext/>
        <w:keepLines/>
        <w:widowControl/>
        <w:numPr>
          <w:ilvl w:val="0"/>
          <w:numId w:val="11"/>
        </w:numPr>
        <w:suppressLineNumbers w:val="0"/>
        <w:spacing w:beforeLines="0" w:afterLines="0"/>
        <w:ind w:firstLine="600" w:firstLineChars="200"/>
        <w:jc w:val="left"/>
        <w:rPr>
          <w:rFonts w:hint="eastAsia" w:ascii="黑体" w:hAnsi="黑体" w:eastAsia="黑体" w:cs="黑体"/>
          <w:b w:val="0"/>
          <w:bCs/>
          <w:kern w:val="2"/>
          <w:sz w:val="30"/>
          <w:szCs w:val="30"/>
          <w:lang w:val="en-US" w:eastAsia="zh-CN" w:bidi="ar-SA"/>
        </w:rPr>
      </w:pPr>
      <w:bookmarkStart w:id="35" w:name="_Toc30856"/>
      <w:r>
        <w:rPr>
          <w:rFonts w:hint="eastAsia" w:ascii="黑体" w:hAnsi="黑体" w:eastAsia="黑体" w:cs="黑体"/>
          <w:b w:val="0"/>
          <w:bCs/>
          <w:kern w:val="2"/>
          <w:sz w:val="30"/>
          <w:szCs w:val="30"/>
          <w:lang w:val="en-US" w:eastAsia="zh-CN" w:bidi="ar-SA"/>
        </w:rPr>
        <w:t>《市场主体登记管理条例》的制定及颁布，为《实施办法》的制定和施行提供了良好的外部环境</w:t>
      </w:r>
      <w:bookmarkEnd w:id="35"/>
    </w:p>
    <w:p>
      <w:pPr>
        <w:keepNext w:val="0"/>
        <w:keepLines w:val="0"/>
        <w:widowControl/>
        <w:suppressLineNumbers w:val="0"/>
        <w:ind w:firstLine="600" w:firstLineChars="200"/>
        <w:jc w:val="both"/>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2021年3月该制度施行以来，社会公众对企业歇业的接受程度、政策的适应性逐步提高。同时，《市场主体登记管理条例》已于2021年7月27日公布，并将于2022年3月1日施行，其中更是吸收地方试点商事主体歇业制度的实施情况，明确建立了歇业制度。《市场主体登记管理条例》对商事主体歇业制度的确立，恰恰说明了歇业制度的科学性、可行性以及合理性。作为《市场主体登记管理条例》的亮点，就歇业制度的宣传力度空前、广泛，中国政府网、光明网、人民日报等政府网站或官方媒体上刊登了众多宣传、介绍歇业制度的文章，为《实施办法》的实施提供了一个良好的外部环境，奠定了《实施办法》制定和实施的基础。</w:t>
      </w:r>
    </w:p>
    <w:p>
      <w:pPr>
        <w:keepNext w:val="0"/>
        <w:keepLines w:val="0"/>
        <w:widowControl/>
        <w:suppressLineNumbers w:val="0"/>
        <w:ind w:firstLine="600" w:firstLineChars="200"/>
        <w:jc w:val="both"/>
        <w:rPr>
          <w:rFonts w:hint="default" w:ascii="仿宋" w:hAnsi="仿宋" w:eastAsia="仿宋" w:cs="仿宋"/>
          <w:b w:val="0"/>
          <w:bCs w:val="0"/>
          <w:kern w:val="2"/>
          <w:sz w:val="30"/>
          <w:szCs w:val="30"/>
          <w:lang w:val="en-US" w:eastAsia="zh-CN" w:bidi="ar-SA"/>
        </w:rPr>
      </w:pPr>
    </w:p>
    <w:p>
      <w:pPr>
        <w:pStyle w:val="5"/>
        <w:keepNext/>
        <w:keepLines/>
        <w:pageBreakBefore w:val="0"/>
        <w:widowControl w:val="0"/>
        <w:numPr>
          <w:ilvl w:val="0"/>
          <w:numId w:val="8"/>
        </w:numPr>
        <w:kinsoku/>
        <w:wordWrap/>
        <w:overflowPunct/>
        <w:topLinePunct w:val="0"/>
        <w:autoSpaceDE/>
        <w:autoSpaceDN/>
        <w:bidi w:val="0"/>
        <w:adjustRightInd/>
        <w:snapToGrid/>
        <w:spacing w:before="0" w:after="0" w:line="240" w:lineRule="auto"/>
        <w:ind w:firstLine="600" w:firstLineChars="200"/>
        <w:textAlignment w:val="auto"/>
        <w:rPr>
          <w:rFonts w:hint="default" w:ascii="黑体" w:hAnsi="黑体" w:eastAsia="黑体" w:cs="黑体"/>
          <w:b w:val="0"/>
          <w:bCs w:val="0"/>
          <w:sz w:val="30"/>
          <w:szCs w:val="30"/>
          <w:lang w:val="en-US" w:eastAsia="zh-CN"/>
        </w:rPr>
      </w:pPr>
      <w:bookmarkStart w:id="36" w:name="_Toc26178"/>
      <w:r>
        <w:rPr>
          <w:rFonts w:hint="eastAsia" w:ascii="黑体" w:hAnsi="黑体" w:eastAsia="黑体" w:cs="黑体"/>
          <w:b w:val="0"/>
          <w:bCs w:val="0"/>
          <w:sz w:val="30"/>
          <w:szCs w:val="30"/>
          <w:lang w:val="en-US" w:eastAsia="zh-CN"/>
        </w:rPr>
        <w:t>可控性评估</w:t>
      </w:r>
      <w:bookmarkEnd w:id="36"/>
    </w:p>
    <w:p>
      <w:pPr>
        <w:keepNext w:val="0"/>
        <w:keepLines w:val="0"/>
        <w:widowControl/>
        <w:suppressLineNumbers w:val="0"/>
        <w:ind w:firstLine="600" w:firstLineChars="200"/>
        <w:jc w:val="left"/>
        <w:rPr>
          <w:rFonts w:hint="default"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可控性评估在于确定</w:t>
      </w:r>
      <w:r>
        <w:rPr>
          <w:rFonts w:hint="eastAsia" w:ascii="仿宋" w:hAnsi="仿宋" w:eastAsia="仿宋" w:cs="仿宋"/>
          <w:b w:val="0"/>
          <w:bCs w:val="0"/>
          <w:kern w:val="2"/>
          <w:sz w:val="30"/>
          <w:szCs w:val="30"/>
          <w:lang w:val="en-US" w:eastAsia="zh-CN" w:bidi="ar-SA"/>
        </w:rPr>
        <w:t>《实施办法》的施行</w:t>
      </w:r>
      <w:r>
        <w:rPr>
          <w:rFonts w:hint="default" w:ascii="仿宋" w:hAnsi="仿宋" w:eastAsia="仿宋" w:cs="仿宋"/>
          <w:b w:val="0"/>
          <w:bCs w:val="0"/>
          <w:kern w:val="2"/>
          <w:sz w:val="30"/>
          <w:szCs w:val="30"/>
          <w:lang w:val="en-US" w:eastAsia="zh-CN" w:bidi="ar-SA"/>
        </w:rPr>
        <w:t>是否存在公共安全隐患</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引发群体性事件</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造成重大社会负面影响等社会稳定问题</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以及对可能引发社会稳定风险的可控程度</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预防和化解相应措施。</w:t>
      </w:r>
    </w:p>
    <w:p>
      <w:pPr>
        <w:pStyle w:val="6"/>
        <w:keepNext/>
        <w:keepLines/>
        <w:numPr>
          <w:ilvl w:val="0"/>
          <w:numId w:val="12"/>
        </w:numPr>
        <w:spacing w:beforeLines="0" w:afterLines="0"/>
        <w:ind w:firstLine="600" w:firstLineChars="200"/>
        <w:rPr>
          <w:rFonts w:hint="eastAsia" w:ascii="黑体" w:hAnsi="黑体" w:eastAsia="黑体" w:cs="黑体"/>
          <w:b w:val="0"/>
          <w:bCs/>
          <w:kern w:val="2"/>
          <w:sz w:val="30"/>
          <w:szCs w:val="30"/>
          <w:lang w:val="en-US" w:eastAsia="zh-CN" w:bidi="ar-SA"/>
        </w:rPr>
      </w:pPr>
      <w:bookmarkStart w:id="37" w:name="_Toc9621"/>
      <w:r>
        <w:rPr>
          <w:rFonts w:hint="eastAsia" w:ascii="黑体" w:hAnsi="黑体" w:eastAsia="黑体" w:cs="黑体"/>
          <w:b w:val="0"/>
          <w:bCs/>
          <w:kern w:val="2"/>
          <w:sz w:val="30"/>
          <w:szCs w:val="30"/>
          <w:lang w:val="en-US" w:eastAsia="zh-CN" w:bidi="ar-SA"/>
        </w:rPr>
        <w:t>可能存在的风险点</w:t>
      </w:r>
      <w:bookmarkEnd w:id="37"/>
    </w:p>
    <w:p>
      <w:pPr>
        <w:keepNext w:val="0"/>
        <w:keepLines w:val="0"/>
        <w:widowControl/>
        <w:suppressLineNumbers w:val="0"/>
        <w:ind w:firstLine="600" w:firstLineChars="200"/>
        <w:jc w:val="both"/>
        <w:rPr>
          <w:rFonts w:hint="default"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w:t>
      </w:r>
      <w:r>
        <w:rPr>
          <w:rFonts w:hint="eastAsia" w:ascii="仿宋" w:hAnsi="仿宋" w:eastAsia="仿宋" w:cs="仿宋"/>
          <w:b w:val="0"/>
          <w:bCs w:val="0"/>
          <w:kern w:val="2"/>
          <w:sz w:val="30"/>
          <w:szCs w:val="30"/>
          <w:lang w:val="en-US" w:eastAsia="zh-CN" w:bidi="ar-SA"/>
        </w:rPr>
        <w:t>办法</w:t>
      </w:r>
      <w:r>
        <w:rPr>
          <w:rFonts w:hint="default" w:ascii="仿宋" w:hAnsi="仿宋" w:eastAsia="仿宋" w:cs="仿宋"/>
          <w:b w:val="0"/>
          <w:bCs w:val="0"/>
          <w:kern w:val="2"/>
          <w:sz w:val="30"/>
          <w:szCs w:val="30"/>
          <w:lang w:val="en-US" w:eastAsia="zh-CN" w:bidi="ar-SA"/>
        </w:rPr>
        <w:t>》内容上既包括原则性的指导建议</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也有明确的硬性量化要求</w:t>
      </w:r>
      <w:r>
        <w:rPr>
          <w:rFonts w:hint="eastAsia" w:ascii="仿宋" w:hAnsi="仿宋" w:eastAsia="仿宋" w:cs="仿宋"/>
          <w:b w:val="0"/>
          <w:bCs w:val="0"/>
          <w:kern w:val="2"/>
          <w:sz w:val="30"/>
          <w:szCs w:val="30"/>
          <w:lang w:val="en-US" w:eastAsia="zh-CN" w:bidi="ar-SA"/>
        </w:rPr>
        <w:t>，</w:t>
      </w:r>
      <w:r>
        <w:rPr>
          <w:rFonts w:hint="default" w:ascii="仿宋" w:hAnsi="仿宋" w:eastAsia="仿宋" w:cs="仿宋"/>
          <w:b w:val="0"/>
          <w:bCs w:val="0"/>
          <w:kern w:val="2"/>
          <w:sz w:val="30"/>
          <w:szCs w:val="30"/>
          <w:lang w:val="en-US" w:eastAsia="zh-CN" w:bidi="ar-SA"/>
        </w:rPr>
        <w:t>可能存在的风险如下：</w:t>
      </w:r>
    </w:p>
    <w:p>
      <w:pPr>
        <w:widowControl/>
        <w:numPr>
          <w:ilvl w:val="0"/>
          <w:numId w:val="13"/>
        </w:numPr>
        <w:ind w:firstLine="562"/>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商事主体歇业期间劳动关系处理不当容易产生纠纷，影响社会稳定</w:t>
      </w:r>
    </w:p>
    <w:p>
      <w:pPr>
        <w:pStyle w:val="2"/>
        <w:spacing w:line="240" w:lineRule="auto"/>
        <w:ind w:firstLine="600" w:firstLineChars="200"/>
        <w:jc w:val="both"/>
        <w:rPr>
          <w:rFonts w:hint="default" w:ascii="仿宋" w:hAnsi="仿宋" w:eastAsia="仿宋" w:cs="仿宋"/>
          <w:b w:val="0"/>
          <w:bCs w:val="0"/>
          <w:i w:val="0"/>
          <w:iCs w:val="0"/>
          <w:caps w:val="0"/>
          <w:spacing w:val="0"/>
          <w:sz w:val="30"/>
          <w:szCs w:val="30"/>
          <w:shd w:val="clear"/>
          <w:lang w:val="en-US" w:eastAsia="zh-CN"/>
        </w:rPr>
      </w:pPr>
      <w:r>
        <w:rPr>
          <w:rFonts w:hint="eastAsia" w:ascii="仿宋" w:hAnsi="仿宋" w:eastAsia="仿宋" w:cs="仿宋"/>
          <w:b w:val="0"/>
          <w:bCs w:val="0"/>
          <w:i w:val="0"/>
          <w:iCs w:val="0"/>
          <w:caps w:val="0"/>
          <w:spacing w:val="0"/>
          <w:sz w:val="30"/>
          <w:szCs w:val="30"/>
          <w:shd w:val="clear"/>
        </w:rPr>
        <w:t>在</w:t>
      </w:r>
      <w:r>
        <w:rPr>
          <w:rFonts w:hint="eastAsia" w:ascii="仿宋" w:hAnsi="仿宋" w:eastAsia="仿宋" w:cs="仿宋"/>
          <w:b w:val="0"/>
          <w:bCs w:val="0"/>
          <w:i w:val="0"/>
          <w:iCs w:val="0"/>
          <w:caps w:val="0"/>
          <w:spacing w:val="0"/>
          <w:sz w:val="30"/>
          <w:szCs w:val="30"/>
          <w:shd w:val="clear"/>
          <w:lang w:val="en-US" w:eastAsia="zh-CN"/>
        </w:rPr>
        <w:t>商事主体歇业</w:t>
      </w:r>
      <w:r>
        <w:rPr>
          <w:rFonts w:hint="eastAsia" w:ascii="仿宋" w:hAnsi="仿宋" w:eastAsia="仿宋" w:cs="仿宋"/>
          <w:b w:val="0"/>
          <w:bCs w:val="0"/>
          <w:i w:val="0"/>
          <w:iCs w:val="0"/>
          <w:caps w:val="0"/>
          <w:spacing w:val="0"/>
          <w:sz w:val="30"/>
          <w:szCs w:val="30"/>
          <w:shd w:val="clear"/>
        </w:rPr>
        <w:t>制度建立的过程中，企业和员工之间的劳动关系问题，是一个无法回避的问题。目前，</w:t>
      </w:r>
      <w:r>
        <w:rPr>
          <w:rFonts w:hint="eastAsia" w:ascii="仿宋" w:hAnsi="仿宋" w:eastAsia="仿宋" w:cs="仿宋"/>
          <w:b w:val="0"/>
          <w:bCs w:val="0"/>
          <w:i w:val="0"/>
          <w:iCs w:val="0"/>
          <w:caps w:val="0"/>
          <w:spacing w:val="0"/>
          <w:sz w:val="30"/>
          <w:szCs w:val="30"/>
          <w:shd w:val="clear"/>
          <w:lang w:val="en-US" w:eastAsia="zh-CN"/>
        </w:rPr>
        <w:t>现行</w:t>
      </w:r>
      <w:r>
        <w:rPr>
          <w:rFonts w:hint="eastAsia" w:ascii="仿宋" w:hAnsi="仿宋" w:eastAsia="仿宋" w:cs="仿宋"/>
          <w:b w:val="0"/>
          <w:bCs w:val="0"/>
          <w:i w:val="0"/>
          <w:iCs w:val="0"/>
          <w:caps w:val="0"/>
          <w:spacing w:val="0"/>
          <w:sz w:val="30"/>
          <w:szCs w:val="30"/>
          <w:shd w:val="clear"/>
        </w:rPr>
        <w:t>相关法律、司法解释、行政法规</w:t>
      </w:r>
      <w:r>
        <w:rPr>
          <w:rFonts w:hint="eastAsia" w:ascii="仿宋" w:hAnsi="仿宋" w:eastAsia="仿宋" w:cs="仿宋"/>
          <w:b w:val="0"/>
          <w:bCs w:val="0"/>
          <w:i w:val="0"/>
          <w:iCs w:val="0"/>
          <w:caps w:val="0"/>
          <w:spacing w:val="0"/>
          <w:sz w:val="30"/>
          <w:szCs w:val="30"/>
          <w:shd w:val="clear"/>
          <w:lang w:val="en-US" w:eastAsia="zh-CN"/>
        </w:rPr>
        <w:t>以及</w:t>
      </w:r>
      <w:r>
        <w:rPr>
          <w:rFonts w:hint="eastAsia" w:ascii="仿宋" w:hAnsi="仿宋" w:eastAsia="仿宋" w:cs="仿宋"/>
          <w:b w:val="0"/>
          <w:bCs w:val="0"/>
          <w:i w:val="0"/>
          <w:iCs w:val="0"/>
          <w:caps w:val="0"/>
          <w:spacing w:val="0"/>
          <w:sz w:val="30"/>
          <w:szCs w:val="30"/>
          <w:shd w:val="clear"/>
        </w:rPr>
        <w:t>所涉及调整劳动人事关系的规范性文件均未引入劳动合同中止制度。唯一可见端倪的是在《劳动合同法》及其实施条例立法过程中，“劳动合同中止”制度曾经见诸征求意见稿中，但在最终发布的法律中，并未见到该制度的任何踪影。可见，官方对劳动合同中止制度的谨慎。</w:t>
      </w:r>
      <w:r>
        <w:rPr>
          <w:rFonts w:hint="eastAsia" w:ascii="仿宋" w:hAnsi="仿宋" w:eastAsia="仿宋" w:cs="仿宋"/>
          <w:b w:val="0"/>
          <w:bCs w:val="0"/>
          <w:i w:val="0"/>
          <w:iCs w:val="0"/>
          <w:caps w:val="0"/>
          <w:spacing w:val="0"/>
          <w:sz w:val="30"/>
          <w:szCs w:val="30"/>
          <w:shd w:val="clear"/>
          <w:lang w:val="en-US" w:eastAsia="zh-CN"/>
        </w:rPr>
        <w:t>而</w:t>
      </w:r>
      <w:r>
        <w:rPr>
          <w:rFonts w:hint="eastAsia" w:ascii="仿宋" w:hAnsi="仿宋" w:eastAsia="仿宋" w:cs="仿宋"/>
          <w:b w:val="0"/>
          <w:bCs w:val="0"/>
          <w:i w:val="0"/>
          <w:iCs w:val="0"/>
          <w:caps w:val="0"/>
          <w:spacing w:val="0"/>
          <w:sz w:val="30"/>
          <w:szCs w:val="30"/>
          <w:shd w:val="clear"/>
        </w:rPr>
        <w:t>这种“谨慎”并非没有缘由</w:t>
      </w:r>
      <w:r>
        <w:rPr>
          <w:rFonts w:hint="eastAsia" w:ascii="仿宋" w:hAnsi="仿宋" w:eastAsia="仿宋" w:cs="仿宋"/>
          <w:b w:val="0"/>
          <w:bCs w:val="0"/>
          <w:i w:val="0"/>
          <w:iCs w:val="0"/>
          <w:caps w:val="0"/>
          <w:spacing w:val="0"/>
          <w:sz w:val="30"/>
          <w:szCs w:val="30"/>
          <w:shd w:val="clear"/>
          <w:lang w:eastAsia="zh-CN"/>
        </w:rPr>
        <w:t>，</w:t>
      </w:r>
      <w:r>
        <w:rPr>
          <w:rFonts w:hint="eastAsia" w:ascii="仿宋" w:hAnsi="仿宋" w:eastAsia="仿宋" w:cs="仿宋"/>
          <w:b w:val="0"/>
          <w:bCs w:val="0"/>
          <w:i w:val="0"/>
          <w:iCs w:val="0"/>
          <w:caps w:val="0"/>
          <w:spacing w:val="0"/>
          <w:sz w:val="30"/>
          <w:szCs w:val="30"/>
          <w:shd w:val="clear"/>
        </w:rPr>
        <w:t>劳动关系的建立和存续，以劳动者提供劳动为核心要件</w:t>
      </w:r>
      <w:r>
        <w:rPr>
          <w:rFonts w:hint="eastAsia" w:ascii="仿宋" w:hAnsi="仿宋" w:eastAsia="仿宋" w:cs="仿宋"/>
          <w:b w:val="0"/>
          <w:bCs w:val="0"/>
          <w:i w:val="0"/>
          <w:iCs w:val="0"/>
          <w:caps w:val="0"/>
          <w:spacing w:val="0"/>
          <w:sz w:val="30"/>
          <w:szCs w:val="30"/>
          <w:shd w:val="clear"/>
          <w:lang w:eastAsia="zh-CN"/>
        </w:rPr>
        <w:t>，</w:t>
      </w:r>
      <w:r>
        <w:rPr>
          <w:rFonts w:hint="eastAsia" w:ascii="仿宋" w:hAnsi="仿宋" w:eastAsia="仿宋" w:cs="仿宋"/>
          <w:b w:val="0"/>
          <w:bCs w:val="0"/>
          <w:i w:val="0"/>
          <w:iCs w:val="0"/>
          <w:caps w:val="0"/>
          <w:spacing w:val="0"/>
          <w:sz w:val="30"/>
          <w:szCs w:val="30"/>
          <w:shd w:val="clear"/>
        </w:rPr>
        <w:t>如果</w:t>
      </w:r>
      <w:r>
        <w:rPr>
          <w:rFonts w:hint="eastAsia" w:ascii="仿宋" w:hAnsi="仿宋" w:eastAsia="仿宋" w:cs="仿宋"/>
          <w:b w:val="0"/>
          <w:bCs w:val="0"/>
          <w:i w:val="0"/>
          <w:iCs w:val="0"/>
          <w:caps w:val="0"/>
          <w:spacing w:val="0"/>
          <w:sz w:val="30"/>
          <w:szCs w:val="30"/>
          <w:shd w:val="clear"/>
          <w:lang w:val="en-US" w:eastAsia="zh-CN"/>
        </w:rPr>
        <w:t>劳动合同</w:t>
      </w:r>
      <w:r>
        <w:rPr>
          <w:rFonts w:hint="eastAsia" w:ascii="仿宋" w:hAnsi="仿宋" w:eastAsia="仿宋" w:cs="仿宋"/>
          <w:b w:val="0"/>
          <w:bCs w:val="0"/>
          <w:i w:val="0"/>
          <w:iCs w:val="0"/>
          <w:caps w:val="0"/>
          <w:spacing w:val="0"/>
          <w:sz w:val="30"/>
          <w:szCs w:val="30"/>
          <w:shd w:val="clear"/>
        </w:rPr>
        <w:t>“中止”履行，“中止”期间，双方</w:t>
      </w:r>
      <w:r>
        <w:rPr>
          <w:rFonts w:hint="eastAsia" w:ascii="仿宋" w:hAnsi="仿宋" w:eastAsia="仿宋" w:cs="仿宋"/>
          <w:b w:val="0"/>
          <w:bCs w:val="0"/>
          <w:i w:val="0"/>
          <w:iCs w:val="0"/>
          <w:caps w:val="0"/>
          <w:spacing w:val="0"/>
          <w:sz w:val="30"/>
          <w:szCs w:val="30"/>
          <w:shd w:val="clear"/>
          <w:lang w:val="en-US" w:eastAsia="zh-CN"/>
        </w:rPr>
        <w:t>之间的劳动关系是否存续，</w:t>
      </w:r>
      <w:r>
        <w:rPr>
          <w:rFonts w:hint="eastAsia" w:ascii="仿宋" w:hAnsi="仿宋" w:eastAsia="仿宋" w:cs="仿宋"/>
          <w:b w:val="0"/>
          <w:bCs w:val="0"/>
          <w:i w:val="0"/>
          <w:iCs w:val="0"/>
          <w:caps w:val="0"/>
          <w:spacing w:val="0"/>
          <w:sz w:val="30"/>
          <w:szCs w:val="30"/>
          <w:shd w:val="clear"/>
        </w:rPr>
        <w:t>是否</w:t>
      </w:r>
      <w:r>
        <w:rPr>
          <w:rFonts w:hint="eastAsia" w:ascii="仿宋" w:hAnsi="仿宋" w:eastAsia="仿宋" w:cs="仿宋"/>
          <w:b w:val="0"/>
          <w:bCs w:val="0"/>
          <w:i w:val="0"/>
          <w:iCs w:val="0"/>
          <w:caps w:val="0"/>
          <w:spacing w:val="0"/>
          <w:sz w:val="30"/>
          <w:szCs w:val="30"/>
          <w:shd w:val="clear"/>
          <w:lang w:val="en-US" w:eastAsia="zh-CN"/>
        </w:rPr>
        <w:t>仍旧</w:t>
      </w:r>
      <w:r>
        <w:rPr>
          <w:rFonts w:hint="eastAsia" w:ascii="仿宋" w:hAnsi="仿宋" w:eastAsia="仿宋" w:cs="仿宋"/>
          <w:b w:val="0"/>
          <w:bCs w:val="0"/>
          <w:i w:val="0"/>
          <w:iCs w:val="0"/>
          <w:caps w:val="0"/>
          <w:spacing w:val="0"/>
          <w:sz w:val="30"/>
          <w:szCs w:val="30"/>
          <w:shd w:val="clear"/>
        </w:rPr>
        <w:t>需要发放劳动报酬</w:t>
      </w:r>
      <w:r>
        <w:rPr>
          <w:rFonts w:hint="eastAsia" w:ascii="仿宋" w:hAnsi="仿宋" w:eastAsia="仿宋" w:cs="仿宋"/>
          <w:b w:val="0"/>
          <w:bCs w:val="0"/>
          <w:i w:val="0"/>
          <w:iCs w:val="0"/>
          <w:caps w:val="0"/>
          <w:spacing w:val="0"/>
          <w:sz w:val="30"/>
          <w:szCs w:val="30"/>
          <w:shd w:val="clear"/>
          <w:lang w:eastAsia="zh-CN"/>
        </w:rPr>
        <w:t>，</w:t>
      </w:r>
      <w:r>
        <w:rPr>
          <w:rFonts w:hint="eastAsia" w:ascii="仿宋" w:hAnsi="仿宋" w:eastAsia="仿宋" w:cs="仿宋"/>
          <w:b w:val="0"/>
          <w:bCs w:val="0"/>
          <w:i w:val="0"/>
          <w:iCs w:val="0"/>
          <w:caps w:val="0"/>
          <w:spacing w:val="0"/>
          <w:sz w:val="30"/>
          <w:szCs w:val="30"/>
          <w:shd w:val="clear"/>
          <w:lang w:val="en-US" w:eastAsia="zh-CN"/>
        </w:rPr>
        <w:t>亦或是商事主体</w:t>
      </w:r>
      <w:r>
        <w:rPr>
          <w:rFonts w:hint="eastAsia" w:ascii="仿宋" w:hAnsi="仿宋" w:eastAsia="仿宋" w:cs="仿宋"/>
          <w:b w:val="0"/>
          <w:bCs w:val="0"/>
          <w:i w:val="0"/>
          <w:iCs w:val="0"/>
          <w:caps w:val="0"/>
          <w:spacing w:val="0"/>
          <w:sz w:val="30"/>
          <w:szCs w:val="30"/>
          <w:shd w:val="clear"/>
        </w:rPr>
        <w:t>是否还需要</w:t>
      </w:r>
      <w:r>
        <w:rPr>
          <w:rFonts w:hint="eastAsia" w:ascii="仿宋" w:hAnsi="仿宋" w:eastAsia="仿宋" w:cs="仿宋"/>
          <w:b w:val="0"/>
          <w:bCs w:val="0"/>
          <w:i w:val="0"/>
          <w:iCs w:val="0"/>
          <w:caps w:val="0"/>
          <w:spacing w:val="0"/>
          <w:sz w:val="30"/>
          <w:szCs w:val="30"/>
          <w:shd w:val="clear"/>
          <w:lang w:val="en-US" w:eastAsia="zh-CN"/>
        </w:rPr>
        <w:t>为劳动者</w:t>
      </w:r>
      <w:r>
        <w:rPr>
          <w:rFonts w:hint="eastAsia" w:ascii="仿宋" w:hAnsi="仿宋" w:eastAsia="仿宋" w:cs="仿宋"/>
          <w:b w:val="0"/>
          <w:bCs w:val="0"/>
          <w:i w:val="0"/>
          <w:iCs w:val="0"/>
          <w:caps w:val="0"/>
          <w:spacing w:val="0"/>
          <w:sz w:val="30"/>
          <w:szCs w:val="30"/>
          <w:shd w:val="clear"/>
        </w:rPr>
        <w:t>缴纳社会保险费（而社会保险缴费制度正是以发放工资为基础前提而设计的）？</w:t>
      </w:r>
    </w:p>
    <w:p>
      <w:pPr>
        <w:pStyle w:val="2"/>
        <w:spacing w:line="240" w:lineRule="auto"/>
        <w:ind w:firstLine="600" w:firstLineChars="200"/>
        <w:jc w:val="both"/>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深圳经济特区商事登记若干规定》并未就商事主体歇业期间的劳动用工关系调整进行回应，在劳动用工相关法律、法规未进行调整、修订的情况下，上述问题将会是歇业制度实施后直接面临的社会问题，容易引发民事争议，导致存在集体信访维稳的风险。</w:t>
      </w:r>
    </w:p>
    <w:p>
      <w:pPr>
        <w:keepNext w:val="0"/>
        <w:keepLines w:val="0"/>
        <w:widowControl/>
        <w:numPr>
          <w:ilvl w:val="0"/>
          <w:numId w:val="13"/>
        </w:numPr>
        <w:suppressLineNumbers w:val="0"/>
        <w:ind w:firstLine="562" w:firstLineChars="0"/>
        <w:jc w:val="left"/>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配套政策或者操作指引不完善，导致可操作性偏弱</w:t>
      </w:r>
    </w:p>
    <w:p>
      <w:pPr>
        <w:widowControl/>
        <w:ind w:firstLine="600" w:firstLineChars="200"/>
        <w:jc w:val="both"/>
        <w:rPr>
          <w:rFonts w:hint="eastAsia" w:ascii="仿宋" w:hAnsi="仿宋" w:eastAsia="仿宋" w:cs="仿宋"/>
          <w:b/>
          <w:bCs/>
          <w:sz w:val="30"/>
          <w:szCs w:val="30"/>
          <w:lang w:val="en-US" w:eastAsia="zh-CN"/>
        </w:rPr>
      </w:pPr>
      <w:r>
        <w:rPr>
          <w:rFonts w:hint="eastAsia" w:ascii="仿宋" w:hAnsi="仿宋" w:eastAsia="仿宋" w:cs="仿宋"/>
          <w:b w:val="0"/>
          <w:bCs w:val="0"/>
          <w:kern w:val="2"/>
          <w:sz w:val="30"/>
          <w:szCs w:val="30"/>
          <w:lang w:val="en-US" w:eastAsia="zh-CN" w:bidi="ar-SA"/>
        </w:rPr>
        <w:t>商事主体在营、歇业的状态转换与其他行政部门未有配套政策衔接，影响了群众对于歇业制度的接受度。前海深港现代化服务业合作区和宝安区试点过程中，</w:t>
      </w:r>
      <w:r>
        <w:rPr>
          <w:rFonts w:ascii="仿宋" w:hAnsi="仿宋" w:eastAsia="仿宋" w:cs="仿宋"/>
          <w:b w:val="0"/>
          <w:bCs w:val="0"/>
          <w:i w:val="0"/>
          <w:iCs w:val="0"/>
          <w:caps w:val="0"/>
          <w:color w:val="auto"/>
          <w:spacing w:val="0"/>
          <w:sz w:val="30"/>
          <w:szCs w:val="30"/>
          <w:shd w:val="clear" w:fill="auto"/>
        </w:rPr>
        <w:t>已办理</w:t>
      </w:r>
      <w:r>
        <w:rPr>
          <w:rFonts w:hint="eastAsia" w:ascii="仿宋" w:hAnsi="仿宋" w:eastAsia="仿宋" w:cs="仿宋"/>
          <w:b w:val="0"/>
          <w:bCs w:val="0"/>
          <w:i w:val="0"/>
          <w:iCs w:val="0"/>
          <w:caps w:val="0"/>
          <w:color w:val="auto"/>
          <w:spacing w:val="0"/>
          <w:sz w:val="30"/>
          <w:szCs w:val="30"/>
          <w:shd w:val="clear" w:fill="auto"/>
          <w:lang w:eastAsia="zh-CN"/>
        </w:rPr>
        <w:t>歇业备案</w:t>
      </w:r>
      <w:r>
        <w:rPr>
          <w:rFonts w:ascii="仿宋" w:hAnsi="仿宋" w:eastAsia="仿宋" w:cs="仿宋"/>
          <w:b w:val="0"/>
          <w:bCs w:val="0"/>
          <w:i w:val="0"/>
          <w:iCs w:val="0"/>
          <w:caps w:val="0"/>
          <w:color w:val="auto"/>
          <w:spacing w:val="0"/>
          <w:sz w:val="30"/>
          <w:szCs w:val="30"/>
          <w:shd w:val="clear" w:fill="auto"/>
        </w:rPr>
        <w:t>成功的</w:t>
      </w:r>
      <w:r>
        <w:rPr>
          <w:rFonts w:hint="eastAsia" w:ascii="仿宋" w:hAnsi="仿宋" w:eastAsia="仿宋" w:cs="仿宋"/>
          <w:b w:val="0"/>
          <w:bCs w:val="0"/>
          <w:i w:val="0"/>
          <w:iCs w:val="0"/>
          <w:caps w:val="0"/>
          <w:spacing w:val="0"/>
          <w:sz w:val="30"/>
          <w:szCs w:val="30"/>
          <w:shd w:val="clear"/>
          <w:lang w:val="en-US" w:eastAsia="zh-CN"/>
        </w:rPr>
        <w:t>商事主体</w:t>
      </w:r>
      <w:r>
        <w:rPr>
          <w:rFonts w:ascii="仿宋" w:hAnsi="仿宋" w:eastAsia="仿宋" w:cs="仿宋"/>
          <w:b w:val="0"/>
          <w:bCs w:val="0"/>
          <w:i w:val="0"/>
          <w:iCs w:val="0"/>
          <w:caps w:val="0"/>
          <w:color w:val="auto"/>
          <w:spacing w:val="0"/>
          <w:sz w:val="30"/>
          <w:szCs w:val="30"/>
          <w:shd w:val="clear" w:fill="auto"/>
        </w:rPr>
        <w:t>其商事登记状态为“存续（歇业）”，</w:t>
      </w:r>
      <w:r>
        <w:rPr>
          <w:rFonts w:hint="eastAsia" w:ascii="仿宋" w:hAnsi="仿宋" w:eastAsia="仿宋" w:cs="仿宋"/>
          <w:b w:val="0"/>
          <w:bCs w:val="0"/>
          <w:i w:val="0"/>
          <w:iCs w:val="0"/>
          <w:caps w:val="0"/>
          <w:spacing w:val="0"/>
          <w:sz w:val="30"/>
          <w:szCs w:val="30"/>
          <w:shd w:val="clear"/>
          <w:lang w:val="en-US" w:eastAsia="zh-CN"/>
        </w:rPr>
        <w:t>但其企业</w:t>
      </w:r>
      <w:r>
        <w:rPr>
          <w:rFonts w:ascii="仿宋" w:hAnsi="仿宋" w:eastAsia="仿宋" w:cs="仿宋"/>
          <w:b w:val="0"/>
          <w:bCs w:val="0"/>
          <w:i w:val="0"/>
          <w:iCs w:val="0"/>
          <w:caps w:val="0"/>
          <w:color w:val="auto"/>
          <w:spacing w:val="0"/>
          <w:sz w:val="30"/>
          <w:szCs w:val="30"/>
          <w:shd w:val="clear" w:fill="auto"/>
        </w:rPr>
        <w:t>税务仍是开业状态，且税务部门仍未出台关于歇业企业的税务政策，而其原有的依据《税务登记管理办法》的个体户纳税停业登记规定无法与现有的歇业制度匹配</w:t>
      </w:r>
      <w:r>
        <w:rPr>
          <w:rStyle w:val="18"/>
          <w:rFonts w:ascii="仿宋" w:hAnsi="仿宋" w:eastAsia="仿宋" w:cs="仿宋"/>
          <w:b w:val="0"/>
          <w:bCs w:val="0"/>
          <w:i w:val="0"/>
          <w:iCs w:val="0"/>
          <w:caps w:val="0"/>
          <w:color w:val="auto"/>
          <w:spacing w:val="0"/>
          <w:sz w:val="30"/>
          <w:szCs w:val="30"/>
          <w:shd w:val="clear" w:fill="auto"/>
        </w:rPr>
        <w:footnoteReference w:id="6"/>
      </w:r>
      <w:r>
        <w:rPr>
          <w:rFonts w:ascii="仿宋" w:hAnsi="仿宋" w:eastAsia="仿宋" w:cs="仿宋"/>
          <w:b w:val="0"/>
          <w:bCs w:val="0"/>
          <w:i w:val="0"/>
          <w:iCs w:val="0"/>
          <w:caps w:val="0"/>
          <w:color w:val="auto"/>
          <w:spacing w:val="0"/>
          <w:sz w:val="30"/>
          <w:szCs w:val="30"/>
          <w:shd w:val="clear" w:fill="auto"/>
        </w:rPr>
        <w:t>。</w:t>
      </w:r>
      <w:r>
        <w:rPr>
          <w:rFonts w:hint="eastAsia" w:ascii="仿宋" w:hAnsi="仿宋" w:eastAsia="仿宋" w:cs="仿宋"/>
          <w:b w:val="0"/>
          <w:bCs w:val="0"/>
          <w:i w:val="0"/>
          <w:iCs w:val="0"/>
          <w:caps w:val="0"/>
          <w:spacing w:val="0"/>
          <w:sz w:val="30"/>
          <w:szCs w:val="30"/>
          <w:shd w:val="clear"/>
          <w:lang w:val="en-US" w:eastAsia="zh-CN"/>
        </w:rPr>
        <w:t>直接导致商事主体歇业制度未发挥实际功效，使得歇业备案并未能得到广泛的应用和市场认可。</w:t>
      </w:r>
    </w:p>
    <w:p>
      <w:pPr>
        <w:pStyle w:val="6"/>
        <w:keepNext/>
        <w:keepLines/>
        <w:widowControl/>
        <w:numPr>
          <w:ilvl w:val="0"/>
          <w:numId w:val="12"/>
        </w:numPr>
        <w:suppressLineNumbers w:val="0"/>
        <w:spacing w:before="0" w:beforeLines="0" w:after="0" w:afterLines="0" w:line="240" w:lineRule="auto"/>
        <w:ind w:left="0" w:leftChars="0" w:firstLine="600" w:firstLineChars="200"/>
        <w:jc w:val="left"/>
        <w:outlineLvl w:val="2"/>
        <w:rPr>
          <w:rFonts w:hint="eastAsia" w:ascii="黑体" w:hAnsi="黑体" w:eastAsia="黑体" w:cs="黑体"/>
          <w:b w:val="0"/>
          <w:bCs/>
          <w:kern w:val="2"/>
          <w:sz w:val="30"/>
          <w:szCs w:val="30"/>
          <w:lang w:val="en-US" w:eastAsia="zh-CN" w:bidi="ar-SA"/>
        </w:rPr>
      </w:pPr>
      <w:bookmarkStart w:id="38" w:name="_Toc5320"/>
      <w:r>
        <w:rPr>
          <w:rFonts w:hint="eastAsia" w:ascii="黑体" w:hAnsi="黑体" w:eastAsia="黑体" w:cs="黑体"/>
          <w:b w:val="0"/>
          <w:bCs/>
          <w:kern w:val="2"/>
          <w:sz w:val="30"/>
          <w:szCs w:val="30"/>
          <w:lang w:val="en-US" w:eastAsia="zh-CN" w:bidi="ar-SA"/>
        </w:rPr>
        <w:t>风险防范、减缓及化解措施建议</w:t>
      </w:r>
      <w:bookmarkEnd w:id="38"/>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尽快制定配套制度或操作指引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华文仿宋" w:hAnsi="华文仿宋" w:eastAsia="华文仿宋" w:cs="华文仿宋"/>
          <w:b w:val="0"/>
          <w:bCs w:val="0"/>
          <w:sz w:val="30"/>
          <w:szCs w:val="30"/>
          <w:lang w:eastAsia="zh-CN"/>
        </w:rPr>
      </w:pPr>
      <w:r>
        <w:rPr>
          <w:rFonts w:hint="eastAsia" w:ascii="华文仿宋" w:hAnsi="华文仿宋" w:eastAsia="华文仿宋" w:cs="华文仿宋"/>
          <w:b w:val="0"/>
          <w:bCs w:val="0"/>
          <w:sz w:val="30"/>
          <w:szCs w:val="30"/>
          <w:lang w:eastAsia="zh-CN"/>
        </w:rPr>
        <w:t>对《</w:t>
      </w:r>
      <w:r>
        <w:rPr>
          <w:rFonts w:hint="eastAsia" w:ascii="华文仿宋" w:hAnsi="华文仿宋" w:eastAsia="华文仿宋" w:cs="华文仿宋"/>
          <w:sz w:val="30"/>
          <w:szCs w:val="30"/>
          <w:lang w:val="en-US" w:eastAsia="zh-CN"/>
        </w:rPr>
        <w:t>实施办法</w:t>
      </w:r>
      <w:r>
        <w:rPr>
          <w:rFonts w:hint="eastAsia" w:ascii="华文仿宋" w:hAnsi="华文仿宋" w:eastAsia="华文仿宋" w:cs="华文仿宋"/>
          <w:b w:val="0"/>
          <w:bCs w:val="0"/>
          <w:sz w:val="30"/>
          <w:szCs w:val="30"/>
          <w:lang w:eastAsia="zh-CN"/>
        </w:rPr>
        <w:t>》中尚需明确的内容，如</w:t>
      </w:r>
      <w:r>
        <w:rPr>
          <w:rFonts w:hint="eastAsia" w:ascii="华文仿宋" w:hAnsi="华文仿宋" w:eastAsia="华文仿宋" w:cs="华文仿宋"/>
          <w:b w:val="0"/>
          <w:bCs w:val="0"/>
          <w:sz w:val="30"/>
          <w:szCs w:val="30"/>
          <w:lang w:val="en-US" w:eastAsia="zh-CN"/>
        </w:rPr>
        <w:t>商事主体申办歇业备案的流程、所需提交的文件材料以及与其他行政部门配套政策衔接</w:t>
      </w:r>
      <w:r>
        <w:rPr>
          <w:rFonts w:hint="eastAsia" w:ascii="华文仿宋" w:hAnsi="华文仿宋" w:eastAsia="华文仿宋" w:cs="华文仿宋"/>
          <w:b w:val="0"/>
          <w:bCs w:val="0"/>
          <w:sz w:val="30"/>
          <w:szCs w:val="30"/>
          <w:lang w:eastAsia="zh-CN"/>
        </w:rPr>
        <w:t>等细节，建议进一步研究，加快制定配套制度或操作指引，充分利用互联网、移动终端申报的便利性，大力推行歇业备案网上办、掌上办等申报方式，方便申请人在有需要时及时提交歇业申请，并同时优化申报材料及申报流程，让本在经营困难期的经营者充分感受到政策的便利性和温暖，增强其对歇业制度的认可度，提升其利用歇业备案应对经营困难的积极性和使用率，推动《</w:t>
      </w:r>
      <w:r>
        <w:rPr>
          <w:rFonts w:hint="eastAsia" w:ascii="华文仿宋" w:hAnsi="华文仿宋" w:eastAsia="华文仿宋" w:cs="华文仿宋"/>
          <w:sz w:val="30"/>
          <w:szCs w:val="30"/>
          <w:lang w:val="en-US" w:eastAsia="zh-CN"/>
        </w:rPr>
        <w:t>实施办法</w:t>
      </w:r>
      <w:r>
        <w:rPr>
          <w:rFonts w:hint="eastAsia" w:ascii="华文仿宋" w:hAnsi="华文仿宋" w:eastAsia="华文仿宋" w:cs="华文仿宋"/>
          <w:b w:val="0"/>
          <w:bCs w:val="0"/>
          <w:sz w:val="30"/>
          <w:szCs w:val="30"/>
          <w:lang w:eastAsia="zh-CN"/>
        </w:rPr>
        <w:t>》全面落地。</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left="0" w:leftChars="0" w:right="0" w:rightChars="0" w:firstLine="602" w:firstLineChars="200"/>
        <w:jc w:val="both"/>
        <w:textAlignment w:val="auto"/>
        <w:outlineLvl w:val="9"/>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加强政策宣传和舆论引导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both"/>
        <w:textAlignment w:val="auto"/>
        <w:outlineLvl w:val="9"/>
        <w:rPr>
          <w:rFonts w:hint="eastAsia" w:ascii="华文仿宋" w:hAnsi="华文仿宋" w:eastAsia="华文仿宋" w:cs="华文仿宋"/>
          <w:b w:val="0"/>
          <w:bCs w:val="0"/>
          <w:sz w:val="30"/>
          <w:szCs w:val="30"/>
          <w:lang w:eastAsia="zh-CN"/>
        </w:rPr>
      </w:pPr>
      <w:r>
        <w:rPr>
          <w:rFonts w:hint="eastAsia" w:ascii="华文仿宋" w:hAnsi="华文仿宋" w:eastAsia="华文仿宋" w:cs="华文仿宋"/>
          <w:b w:val="0"/>
          <w:bCs w:val="0"/>
          <w:sz w:val="30"/>
          <w:szCs w:val="30"/>
          <w:lang w:eastAsia="zh-CN"/>
        </w:rPr>
        <w:t>要使得歇业制度的应用取得良好的效果，首先必须拓宽宣传措施和加大宣传力度。各级市场监管部门要树立正确的意识，积极引导、加大宣传，充分认识歇业制度</w:t>
      </w:r>
      <w:r>
        <w:rPr>
          <w:rFonts w:hint="eastAsia" w:ascii="华文仿宋" w:hAnsi="华文仿宋" w:eastAsia="华文仿宋" w:cs="华文仿宋"/>
          <w:b w:val="0"/>
          <w:bCs w:val="0"/>
          <w:sz w:val="30"/>
          <w:szCs w:val="30"/>
          <w:lang w:val="en-US" w:eastAsia="zh-CN"/>
        </w:rPr>
        <w:t>施行</w:t>
      </w:r>
      <w:r>
        <w:rPr>
          <w:rFonts w:hint="eastAsia" w:ascii="华文仿宋" w:hAnsi="华文仿宋" w:eastAsia="华文仿宋" w:cs="华文仿宋"/>
          <w:b w:val="0"/>
          <w:bCs w:val="0"/>
          <w:sz w:val="30"/>
          <w:szCs w:val="30"/>
          <w:lang w:eastAsia="zh-CN"/>
        </w:rPr>
        <w:t>的重要意义。可以通过灵活运用微信公众号、短视频号、微博、报纸等媒体，积极做好对推广歇业制度的宣传报道、政策解读工作，重点突出歇业制度对优化营商环境、推动经济高质量发展的积极作用，结合讲座、培训等方式加强对经营者申请办理歇业申请等进行针对性指导，确保各项政策落实到位。</w:t>
      </w:r>
    </w:p>
    <w:p>
      <w:pPr>
        <w:numPr>
          <w:ilvl w:val="0"/>
          <w:numId w:val="14"/>
        </w:numPr>
        <w:spacing w:line="240" w:lineRule="auto"/>
        <w:ind w:firstLine="602" w:firstLineChars="200"/>
        <w:jc w:val="both"/>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sz w:val="30"/>
          <w:szCs w:val="30"/>
          <w:lang w:eastAsia="zh-CN"/>
        </w:rPr>
        <w:t>加强风险预警和防范</w:t>
      </w:r>
    </w:p>
    <w:p>
      <w:pPr>
        <w:spacing w:line="240" w:lineRule="auto"/>
        <w:ind w:firstLine="600" w:firstLineChars="200"/>
        <w:jc w:val="both"/>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eastAsia="zh-CN"/>
        </w:rPr>
        <w:t>对《</w:t>
      </w:r>
      <w:r>
        <w:rPr>
          <w:rFonts w:hint="eastAsia" w:ascii="仿宋" w:hAnsi="仿宋" w:eastAsia="仿宋" w:cs="仿宋"/>
          <w:b w:val="0"/>
          <w:bCs w:val="0"/>
          <w:sz w:val="30"/>
          <w:szCs w:val="30"/>
          <w:lang w:val="en-US" w:eastAsia="zh-CN"/>
        </w:rPr>
        <w:t>实施办法</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施行过程</w:t>
      </w:r>
      <w:r>
        <w:rPr>
          <w:rFonts w:hint="eastAsia" w:ascii="仿宋" w:hAnsi="仿宋" w:eastAsia="仿宋" w:cs="仿宋"/>
          <w:b w:val="0"/>
          <w:bCs w:val="0"/>
          <w:sz w:val="30"/>
          <w:szCs w:val="30"/>
          <w:lang w:eastAsia="zh-CN"/>
        </w:rPr>
        <w:t>中可能产生的风险，建议尽快建立风险预警制度，加强风险预警和防范。一是做好社会稳定风险的预防和维稳工作，加强对舆论风险等各类风险的跟踪，全面提高应急处置能力。二是转变工作方法，坚持走访调研工作制度，由群众反映变为走访，倾听群众意见建议，有针对性地研究和解决问题。坚持信息通报、预测排查制度，对群众反映的普遍性、突出性问题，研究制定解决办法，发现群体性事件苗头，要及时就地化解。</w:t>
      </w:r>
    </w:p>
    <w:p>
      <w:pPr>
        <w:numPr>
          <w:ilvl w:val="0"/>
          <w:numId w:val="14"/>
        </w:numPr>
        <w:spacing w:line="240" w:lineRule="auto"/>
        <w:ind w:firstLine="602" w:firstLineChars="200"/>
        <w:jc w:val="both"/>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完善监管机制，加强信息共享</w:t>
      </w:r>
    </w:p>
    <w:p>
      <w:pPr>
        <w:pStyle w:val="2"/>
        <w:spacing w:line="240" w:lineRule="auto"/>
        <w:ind w:firstLine="600" w:firstLineChars="200"/>
        <w:jc w:val="both"/>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在《实施办法》施行中，市场监管部门还应会同税务部门、人力资源部门等部门建立多部门联动机制，以社会信用为基础，构筑歇业制度责任机制。长期关注休眠登记企业的社会信用，并加强社会信用教育引导，保证商事主体歇业备案申请材料的真实性，一旦发现企业在申请歇业的过程中提交了虚假材料，或是违背了歇业备案承诺及其他法定要求，依法应当追究法定代表人、股东、董事、会计师等主体的法律责任，并根据其失信行为的轻重，决定是否将其纳入失信名单，给予联合惩戒。</w:t>
      </w:r>
    </w:p>
    <w:p>
      <w:pPr>
        <w:pStyle w:val="2"/>
        <w:spacing w:line="240" w:lineRule="auto"/>
        <w:ind w:firstLine="600" w:firstLineChars="200"/>
        <w:jc w:val="both"/>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此外，歇业备案是政府对企业经营状态的一种信息确认，这种经营状态信息一经政府确认便具有公信力。信息只有得到有效的利用才能凸显其特定的价值，因此有必要通过现代化的网络技术手段，构建歇业备案信息共享机制。通过各种信息平台进行公示和信息共享，打破各自为政的企业信息孤岛。这不仅有利于政府部门进行统一监管，避免出现因各地区各部门信息不对称而导致的混乱状况，也便于所有公众进行查询。</w:t>
      </w:r>
    </w:p>
    <w:p>
      <w:pPr>
        <w:pStyle w:val="3"/>
        <w:rPr>
          <w:rFonts w:hint="eastAsia"/>
          <w:lang w:val="en-US" w:eastAsia="zh-CN"/>
        </w:rPr>
      </w:pPr>
    </w:p>
    <w:p>
      <w:pPr>
        <w:pStyle w:val="19"/>
        <w:ind w:left="0" w:leftChars="0" w:firstLine="0" w:firstLineChars="0"/>
        <w:jc w:val="center"/>
        <w:outlineLvl w:val="0"/>
        <w:rPr>
          <w:rFonts w:hint="default" w:ascii="黑体" w:hAnsi="黑体" w:eastAsia="黑体" w:cs="黑体"/>
          <w:b/>
          <w:bCs/>
          <w:kern w:val="2"/>
          <w:sz w:val="30"/>
          <w:szCs w:val="30"/>
          <w:lang w:val="en-US" w:eastAsia="zh-CN" w:bidi="ar-SA"/>
        </w:rPr>
      </w:pPr>
      <w:bookmarkStart w:id="39" w:name="_Toc11168"/>
      <w:r>
        <w:rPr>
          <w:rFonts w:hint="eastAsia" w:ascii="黑体" w:hAnsi="黑体" w:eastAsia="黑体" w:cs="黑体"/>
          <w:b/>
          <w:bCs/>
          <w:kern w:val="2"/>
          <w:sz w:val="30"/>
          <w:szCs w:val="30"/>
          <w:lang w:val="en-US" w:eastAsia="zh-CN" w:bidi="ar-SA"/>
        </w:rPr>
        <w:t>第三部分 风险评估结论</w:t>
      </w:r>
      <w:bookmarkEnd w:id="39"/>
    </w:p>
    <w:p>
      <w:pPr>
        <w:pStyle w:val="19"/>
        <w:numPr>
          <w:ilvl w:val="0"/>
          <w:numId w:val="0"/>
        </w:numPr>
        <w:ind w:left="560" w:leftChars="0"/>
        <w:rPr>
          <w:rFonts w:hint="default"/>
          <w:sz w:val="30"/>
          <w:szCs w:val="30"/>
          <w:lang w:val="en-US" w:eastAsia="zh-CN"/>
        </w:rPr>
      </w:pPr>
    </w:p>
    <w:p>
      <w:pPr>
        <w:pStyle w:val="2"/>
        <w:ind w:firstLine="600" w:firstLineChars="200"/>
        <w:jc w:val="both"/>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实施办法》的实施符合“六稳”和“六保”的要求，有利于解决企业实际困难，是保障居民就业、基本民生、产业链供应链的惠民之策。《实施办法》内容基本完整、科学、合理，虽然存在少许实施风险，但这些风险不是《实施办法》本身所产生的，对这些外延风险通过出台配套文件、加强舆论宣传引导、严格行政执法基本可以降低或者化解，稳定风险尚属可控，满足必要性、合法性、协调性和可操作性等标准。</w:t>
      </w:r>
    </w:p>
    <w:p>
      <w:pPr>
        <w:pStyle w:val="2"/>
        <w:ind w:firstLine="600" w:firstLineChars="200"/>
        <w:jc w:val="both"/>
        <w:rPr>
          <w:rFonts w:hint="eastAsia" w:ascii="仿宋" w:hAnsi="仿宋" w:eastAsia="仿宋" w:cs="仿宋"/>
          <w:b w:val="0"/>
          <w:bCs w:val="0"/>
          <w:kern w:val="2"/>
          <w:sz w:val="30"/>
          <w:szCs w:val="30"/>
          <w:lang w:val="en-US" w:eastAsia="zh-CN" w:bidi="ar-SA"/>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华文楷体" w:hAnsi="华文楷体" w:eastAsia="华文楷体" w:cs="华文楷体"/>
                              <w:sz w:val="28"/>
                              <w:szCs w:val="28"/>
                            </w:rPr>
                          </w:pP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PAGE  \* MERGEFORMAT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5</w:t>
                          </w:r>
                          <w:r>
                            <w:rPr>
                              <w:rFonts w:hint="eastAsia" w:ascii="华文楷体" w:hAnsi="华文楷体" w:eastAsia="华文楷体" w:cs="华文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rPr>
                        <w:rFonts w:hint="eastAsia" w:ascii="华文楷体" w:hAnsi="华文楷体" w:eastAsia="华文楷体" w:cs="华文楷体"/>
                        <w:sz w:val="28"/>
                        <w:szCs w:val="28"/>
                      </w:rPr>
                    </w:pPr>
                    <w:r>
                      <w:rPr>
                        <w:rFonts w:hint="eastAsia" w:ascii="华文楷体" w:hAnsi="华文楷体" w:eastAsia="华文楷体" w:cs="华文楷体"/>
                        <w:sz w:val="28"/>
                        <w:szCs w:val="28"/>
                      </w:rPr>
                      <w:fldChar w:fldCharType="begin"/>
                    </w:r>
                    <w:r>
                      <w:rPr>
                        <w:rFonts w:hint="eastAsia" w:ascii="华文楷体" w:hAnsi="华文楷体" w:eastAsia="华文楷体" w:cs="华文楷体"/>
                        <w:sz w:val="28"/>
                        <w:szCs w:val="28"/>
                      </w:rPr>
                      <w:instrText xml:space="preserve"> PAGE  \* MERGEFORMAT </w:instrText>
                    </w:r>
                    <w:r>
                      <w:rPr>
                        <w:rFonts w:hint="eastAsia" w:ascii="华文楷体" w:hAnsi="华文楷体" w:eastAsia="华文楷体" w:cs="华文楷体"/>
                        <w:sz w:val="28"/>
                        <w:szCs w:val="28"/>
                      </w:rPr>
                      <w:fldChar w:fldCharType="separate"/>
                    </w:r>
                    <w:r>
                      <w:rPr>
                        <w:rFonts w:hint="eastAsia" w:ascii="华文楷体" w:hAnsi="华文楷体" w:eastAsia="华文楷体" w:cs="华文楷体"/>
                        <w:sz w:val="28"/>
                        <w:szCs w:val="28"/>
                      </w:rPr>
                      <w:t>5</w:t>
                    </w:r>
                    <w:r>
                      <w:rPr>
                        <w:rFonts w:hint="eastAsia" w:ascii="华文楷体" w:hAnsi="华文楷体" w:eastAsia="华文楷体" w:cs="华文楷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footnote>
  <w:footnote w:type="continuationSeparator" w:id="15">
    <w:p>
      <w:r>
        <w:continuationSeparator/>
      </w:r>
    </w:p>
  </w:footnote>
  <w:footnote w:id="0">
    <w:p>
      <w:pPr>
        <w:pStyle w:val="12"/>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lang w:val="en-US" w:eastAsia="zh-CN"/>
        </w:rPr>
      </w:pPr>
      <w:r>
        <w:rPr>
          <w:rStyle w:val="18"/>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lang w:val="en-US" w:eastAsia="zh-CN"/>
        </w:rPr>
        <w:t>清华大学经济管理学院金融系教授朱武祥等对全国多地中小企业受重大疫情影响的情况和诉求进行了问卷调查，包括对收入下降幅度、可持续时间等八个问题进行了问卷调查，此次调查共收到问卷1509份。</w:t>
      </w:r>
    </w:p>
  </w:footnote>
  <w:footnote w:id="1">
    <w:p>
      <w:pPr>
        <w:pStyle w:val="12"/>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lang w:val="en-US" w:eastAsia="zh-CN"/>
        </w:rPr>
      </w:pPr>
      <w:r>
        <w:rPr>
          <w:rStyle w:val="18"/>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lang w:val="en-US" w:eastAsia="zh-CN"/>
        </w:rPr>
        <w:t>宗思越：《商事登记中的歇业备案制度研究》《法学》[J]，2021，9（3）：383—390。</w:t>
      </w:r>
    </w:p>
  </w:footnote>
  <w:footnote w:id="2">
    <w:p>
      <w:pPr>
        <w:pStyle w:val="12"/>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lang w:val="en-US"/>
        </w:rPr>
      </w:pPr>
      <w:r>
        <w:rPr>
          <w:rStyle w:val="18"/>
          <w:rFonts w:hint="eastAsia" w:ascii="仿宋" w:hAnsi="仿宋" w:eastAsia="仿宋" w:cs="仿宋"/>
        </w:rPr>
        <w:footnoteRef/>
      </w:r>
      <w:r>
        <w:rPr>
          <w:rFonts w:hint="eastAsia" w:ascii="仿宋" w:hAnsi="仿宋" w:eastAsia="仿宋" w:cs="仿宋"/>
        </w:rPr>
        <w:t xml:space="preserve"> 许创业：“深圳以信用监管彰显市场诚信”，</w:t>
      </w:r>
      <w:r>
        <w:rPr>
          <w:rFonts w:hint="eastAsia" w:ascii="仿宋" w:hAnsi="仿宋" w:eastAsia="仿宋" w:cs="仿宋"/>
          <w:lang w:val="en-US" w:eastAsia="zh-CN"/>
        </w:rPr>
        <w:t>载于中国质量报</w:t>
      </w:r>
      <w:r>
        <w:rPr>
          <w:rFonts w:hint="eastAsia" w:ascii="仿宋" w:hAnsi="仿宋" w:eastAsia="仿宋" w:cs="仿宋"/>
        </w:rPr>
        <w:t>，</w:t>
      </w:r>
      <w:r>
        <w:rPr>
          <w:rFonts w:hint="eastAsia" w:ascii="仿宋" w:hAnsi="仿宋" w:eastAsia="仿宋" w:cs="仿宋"/>
          <w:lang w:val="en-US" w:eastAsia="zh-CN"/>
        </w:rPr>
        <w:t>网址：https://m.gmw.cn/baijia/2021-02/19/1302118999.html，2021年11月29日访问。</w:t>
      </w:r>
    </w:p>
  </w:footnote>
  <w:footnote w:id="3">
    <w:p>
      <w:pPr>
        <w:pStyle w:val="12"/>
        <w:snapToGrid w:val="0"/>
        <w:jc w:val="both"/>
        <w:rPr>
          <w:rFonts w:hint="eastAsia" w:ascii="仿宋" w:hAnsi="仿宋" w:eastAsia="仿宋" w:cs="仿宋"/>
          <w:lang w:val="en-US" w:eastAsia="zh-CN"/>
        </w:rPr>
      </w:pPr>
      <w:r>
        <w:rPr>
          <w:rStyle w:val="18"/>
          <w:rFonts w:hint="eastAsia" w:ascii="仿宋" w:hAnsi="仿宋" w:eastAsia="仿宋" w:cs="仿宋"/>
        </w:rPr>
        <w:footnoteRef/>
      </w:r>
      <w:r>
        <w:rPr>
          <w:rFonts w:hint="eastAsia" w:ascii="仿宋" w:hAnsi="仿宋" w:eastAsia="仿宋" w:cs="仿宋"/>
        </w:rPr>
        <w:t xml:space="preserve"> 李志文 钟社罡</w:t>
      </w:r>
      <w:r>
        <w:rPr>
          <w:rFonts w:hint="eastAsia" w:ascii="仿宋" w:hAnsi="仿宋" w:eastAsia="仿宋" w:cs="仿宋"/>
          <w:lang w:eastAsia="zh-CN"/>
        </w:rPr>
        <w:t>：“浅谈歇业制度的探索实践与推广应用”，</w:t>
      </w:r>
      <w:r>
        <w:rPr>
          <w:rFonts w:hint="eastAsia" w:ascii="仿宋" w:hAnsi="仿宋" w:eastAsia="仿宋" w:cs="仿宋"/>
          <w:lang w:val="en-US" w:eastAsia="zh-CN"/>
        </w:rPr>
        <w:t>载于中国消费者报百家号，网址：https://baijiahao.baidu.com/s?id=1709192570677533778&amp;wfr=spider&amp;for=pc，2021年11月30日访问。</w:t>
      </w:r>
    </w:p>
  </w:footnote>
  <w:footnote w:id="4">
    <w:p>
      <w:pPr>
        <w:pStyle w:val="12"/>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rPr>
      </w:pPr>
      <w:r>
        <w:rPr>
          <w:rStyle w:val="18"/>
          <w:rFonts w:hint="eastAsia" w:ascii="仿宋" w:hAnsi="仿宋" w:eastAsia="仿宋" w:cs="仿宋"/>
        </w:rPr>
        <w:footnoteRef/>
      </w:r>
      <w:r>
        <w:rPr>
          <w:rFonts w:hint="eastAsia" w:ascii="仿宋" w:hAnsi="仿宋" w:eastAsia="仿宋" w:cs="仿宋"/>
        </w:rPr>
        <w:t xml:space="preserve"> 李志文 钟社罡</w:t>
      </w:r>
      <w:r>
        <w:rPr>
          <w:rFonts w:hint="eastAsia" w:ascii="仿宋" w:hAnsi="仿宋" w:eastAsia="仿宋" w:cs="仿宋"/>
          <w:lang w:eastAsia="zh-CN"/>
        </w:rPr>
        <w:t>：“浅谈歇业制度的探索实践与推广应用”，</w:t>
      </w:r>
      <w:r>
        <w:rPr>
          <w:rFonts w:hint="eastAsia" w:ascii="仿宋" w:hAnsi="仿宋" w:eastAsia="仿宋" w:cs="仿宋"/>
          <w:lang w:val="en-US" w:eastAsia="zh-CN"/>
        </w:rPr>
        <w:t>载于中国消费者报百家号，网址：https://baijiahao.baidu.com/s?id=1709192570677533778&amp;wfr=spider&amp;for=pc，2021年11月30日访问。</w:t>
      </w:r>
    </w:p>
  </w:footnote>
  <w:footnote w:id="5">
    <w:p>
      <w:pPr>
        <w:pStyle w:val="12"/>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rPr>
      </w:pPr>
      <w:r>
        <w:rPr>
          <w:rStyle w:val="18"/>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lang w:val="en-US" w:eastAsia="zh-CN"/>
        </w:rPr>
        <w:t>林丽鹏：</w:t>
      </w:r>
      <w:r>
        <w:rPr>
          <w:rFonts w:hint="eastAsia" w:ascii="仿宋" w:hAnsi="仿宋" w:eastAsia="仿宋" w:cs="仿宋"/>
        </w:rPr>
        <w:t>歇业制度 帮企业"停机保号"</w:t>
      </w:r>
      <w:r>
        <w:rPr>
          <w:rFonts w:hint="eastAsia" w:ascii="仿宋" w:hAnsi="仿宋" w:eastAsia="仿宋" w:cs="仿宋"/>
          <w:lang w:eastAsia="zh-CN"/>
        </w:rPr>
        <w:t>，</w:t>
      </w:r>
      <w:r>
        <w:rPr>
          <w:rFonts w:hint="eastAsia" w:ascii="仿宋" w:hAnsi="仿宋" w:eastAsia="仿宋" w:cs="仿宋"/>
          <w:lang w:val="en-US" w:eastAsia="zh-CN"/>
        </w:rPr>
        <w:t>载于人民日报，2021年10月29日第017版。</w:t>
      </w:r>
    </w:p>
  </w:footnote>
  <w:footnote w:id="6">
    <w:p>
      <w:pPr>
        <w:pStyle w:val="12"/>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rPr>
      </w:pPr>
      <w:r>
        <w:rPr>
          <w:rStyle w:val="18"/>
          <w:rFonts w:hint="eastAsia" w:ascii="仿宋" w:hAnsi="仿宋" w:eastAsia="仿宋" w:cs="仿宋"/>
        </w:rPr>
        <w:footnoteRef/>
      </w:r>
      <w:r>
        <w:rPr>
          <w:rFonts w:hint="eastAsia" w:ascii="仿宋" w:hAnsi="仿宋" w:eastAsia="仿宋" w:cs="仿宋"/>
        </w:rPr>
        <w:t xml:space="preserve"> 李志文 钟社罡</w:t>
      </w:r>
      <w:r>
        <w:rPr>
          <w:rFonts w:hint="eastAsia" w:ascii="仿宋" w:hAnsi="仿宋" w:eastAsia="仿宋" w:cs="仿宋"/>
          <w:lang w:eastAsia="zh-CN"/>
        </w:rPr>
        <w:t>：“浅谈歇业制度的探索实践与推广应用”，</w:t>
      </w:r>
      <w:r>
        <w:rPr>
          <w:rFonts w:hint="eastAsia" w:ascii="仿宋" w:hAnsi="仿宋" w:eastAsia="仿宋" w:cs="仿宋"/>
          <w:lang w:val="en-US" w:eastAsia="zh-CN"/>
        </w:rPr>
        <w:t>载于中国消费者报百家号，网址：https://baijiahao.baidu.com/s?id=1709192570677533778&amp;wfr=spider&amp;for=pc，2021年11月30日访问。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1B33E"/>
    <w:multiLevelType w:val="singleLevel"/>
    <w:tmpl w:val="8191B33E"/>
    <w:lvl w:ilvl="0" w:tentative="0">
      <w:start w:val="1"/>
      <w:numFmt w:val="chineseCounting"/>
      <w:suff w:val="space"/>
      <w:lvlText w:val="第%1部分"/>
      <w:lvlJc w:val="left"/>
      <w:rPr>
        <w:rFonts w:hint="eastAsia"/>
      </w:rPr>
    </w:lvl>
  </w:abstractNum>
  <w:abstractNum w:abstractNumId="1">
    <w:nsid w:val="95121F48"/>
    <w:multiLevelType w:val="singleLevel"/>
    <w:tmpl w:val="95121F48"/>
    <w:lvl w:ilvl="0" w:tentative="0">
      <w:start w:val="1"/>
      <w:numFmt w:val="chineseCounting"/>
      <w:suff w:val="nothing"/>
      <w:lvlText w:val="%1、"/>
      <w:lvlJc w:val="left"/>
      <w:pPr>
        <w:ind w:left="0" w:firstLine="420"/>
      </w:pPr>
      <w:rPr>
        <w:rFonts w:hint="eastAsia"/>
        <w:sz w:val="30"/>
        <w:szCs w:val="30"/>
      </w:rPr>
    </w:lvl>
  </w:abstractNum>
  <w:abstractNum w:abstractNumId="2">
    <w:nsid w:val="9FB72F70"/>
    <w:multiLevelType w:val="singleLevel"/>
    <w:tmpl w:val="9FB72F70"/>
    <w:lvl w:ilvl="0" w:tentative="0">
      <w:start w:val="1"/>
      <w:numFmt w:val="decimal"/>
      <w:pStyle w:val="6"/>
      <w:suff w:val="nothing"/>
      <w:lvlText w:val="%1．"/>
      <w:lvlJc w:val="left"/>
      <w:pPr>
        <w:ind w:left="0" w:firstLine="400"/>
      </w:pPr>
      <w:rPr>
        <w:rFonts w:hint="default"/>
      </w:rPr>
    </w:lvl>
  </w:abstractNum>
  <w:abstractNum w:abstractNumId="3">
    <w:nsid w:val="BC1AA116"/>
    <w:multiLevelType w:val="singleLevel"/>
    <w:tmpl w:val="BC1AA116"/>
    <w:lvl w:ilvl="0" w:tentative="0">
      <w:start w:val="1"/>
      <w:numFmt w:val="chineseCounting"/>
      <w:suff w:val="nothing"/>
      <w:lvlText w:val="（%1）"/>
      <w:lvlJc w:val="left"/>
      <w:pPr>
        <w:ind w:left="0" w:firstLine="420"/>
      </w:pPr>
      <w:rPr>
        <w:rFonts w:hint="eastAsia"/>
      </w:rPr>
    </w:lvl>
  </w:abstractNum>
  <w:abstractNum w:abstractNumId="4">
    <w:nsid w:val="C1C6E35F"/>
    <w:multiLevelType w:val="singleLevel"/>
    <w:tmpl w:val="C1C6E35F"/>
    <w:lvl w:ilvl="0" w:tentative="0">
      <w:start w:val="1"/>
      <w:numFmt w:val="decimal"/>
      <w:suff w:val="nothing"/>
      <w:lvlText w:val="%1．"/>
      <w:lvlJc w:val="left"/>
      <w:pPr>
        <w:ind w:left="0" w:firstLine="400"/>
      </w:pPr>
      <w:rPr>
        <w:rFonts w:hint="default"/>
      </w:rPr>
    </w:lvl>
  </w:abstractNum>
  <w:abstractNum w:abstractNumId="5">
    <w:nsid w:val="D84674AD"/>
    <w:multiLevelType w:val="singleLevel"/>
    <w:tmpl w:val="D84674AD"/>
    <w:lvl w:ilvl="0" w:tentative="0">
      <w:start w:val="1"/>
      <w:numFmt w:val="decimal"/>
      <w:suff w:val="nothing"/>
      <w:lvlText w:val="%1．"/>
      <w:lvlJc w:val="left"/>
      <w:pPr>
        <w:ind w:left="0" w:firstLine="400"/>
      </w:pPr>
      <w:rPr>
        <w:rFonts w:hint="default"/>
      </w:rPr>
    </w:lvl>
  </w:abstractNum>
  <w:abstractNum w:abstractNumId="6">
    <w:nsid w:val="E2290383"/>
    <w:multiLevelType w:val="singleLevel"/>
    <w:tmpl w:val="E2290383"/>
    <w:lvl w:ilvl="0" w:tentative="0">
      <w:start w:val="1"/>
      <w:numFmt w:val="decimal"/>
      <w:suff w:val="nothing"/>
      <w:lvlText w:val="%1．"/>
      <w:lvlJc w:val="left"/>
      <w:pPr>
        <w:ind w:left="0" w:firstLine="400"/>
      </w:pPr>
      <w:rPr>
        <w:rFonts w:hint="default"/>
      </w:rPr>
    </w:lvl>
  </w:abstractNum>
  <w:abstractNum w:abstractNumId="7">
    <w:nsid w:val="01873EB7"/>
    <w:multiLevelType w:val="singleLevel"/>
    <w:tmpl w:val="01873EB7"/>
    <w:lvl w:ilvl="0" w:tentative="0">
      <w:start w:val="1"/>
      <w:numFmt w:val="decimal"/>
      <w:suff w:val="nothing"/>
      <w:lvlText w:val="%1．"/>
      <w:lvlJc w:val="left"/>
      <w:pPr>
        <w:ind w:left="0" w:firstLine="400"/>
      </w:pPr>
      <w:rPr>
        <w:rFonts w:hint="default"/>
      </w:rPr>
    </w:lvl>
  </w:abstractNum>
  <w:abstractNum w:abstractNumId="8">
    <w:nsid w:val="07297606"/>
    <w:multiLevelType w:val="singleLevel"/>
    <w:tmpl w:val="07297606"/>
    <w:lvl w:ilvl="0" w:tentative="0">
      <w:start w:val="1"/>
      <w:numFmt w:val="chineseCounting"/>
      <w:suff w:val="nothing"/>
      <w:lvlText w:val="（%1）"/>
      <w:lvlJc w:val="left"/>
      <w:pPr>
        <w:ind w:left="0" w:firstLine="420"/>
      </w:pPr>
      <w:rPr>
        <w:rFonts w:hint="eastAsia"/>
      </w:rPr>
    </w:lvl>
  </w:abstractNum>
  <w:abstractNum w:abstractNumId="9">
    <w:nsid w:val="1AFCFD05"/>
    <w:multiLevelType w:val="singleLevel"/>
    <w:tmpl w:val="1AFCFD05"/>
    <w:lvl w:ilvl="0" w:tentative="0">
      <w:start w:val="1"/>
      <w:numFmt w:val="chineseCounting"/>
      <w:suff w:val="nothing"/>
      <w:lvlText w:val="（%1）"/>
      <w:lvlJc w:val="left"/>
      <w:pPr>
        <w:ind w:left="0" w:firstLine="420"/>
      </w:pPr>
      <w:rPr>
        <w:rFonts w:hint="eastAsia"/>
      </w:rPr>
    </w:lvl>
  </w:abstractNum>
  <w:abstractNum w:abstractNumId="10">
    <w:nsid w:val="2E5144B8"/>
    <w:multiLevelType w:val="singleLevel"/>
    <w:tmpl w:val="2E5144B8"/>
    <w:lvl w:ilvl="0" w:tentative="0">
      <w:start w:val="1"/>
      <w:numFmt w:val="chineseCounting"/>
      <w:suff w:val="nothing"/>
      <w:lvlText w:val="%1、"/>
      <w:lvlJc w:val="left"/>
      <w:pPr>
        <w:ind w:left="0" w:firstLine="420"/>
      </w:pPr>
      <w:rPr>
        <w:rFonts w:hint="eastAsia"/>
      </w:rPr>
    </w:lvl>
  </w:abstractNum>
  <w:abstractNum w:abstractNumId="11">
    <w:nsid w:val="32B33BF3"/>
    <w:multiLevelType w:val="singleLevel"/>
    <w:tmpl w:val="32B33BF3"/>
    <w:lvl w:ilvl="0" w:tentative="0">
      <w:start w:val="1"/>
      <w:numFmt w:val="chineseCounting"/>
      <w:suff w:val="nothing"/>
      <w:lvlText w:val="（%1）"/>
      <w:lvlJc w:val="left"/>
      <w:pPr>
        <w:ind w:left="0" w:firstLine="420"/>
      </w:pPr>
      <w:rPr>
        <w:rFonts w:hint="eastAsia"/>
      </w:rPr>
    </w:lvl>
  </w:abstractNum>
  <w:abstractNum w:abstractNumId="12">
    <w:nsid w:val="35B70F9F"/>
    <w:multiLevelType w:val="singleLevel"/>
    <w:tmpl w:val="35B70F9F"/>
    <w:lvl w:ilvl="0" w:tentative="0">
      <w:start w:val="1"/>
      <w:numFmt w:val="chineseCounting"/>
      <w:suff w:val="nothing"/>
      <w:lvlText w:val="（%1）"/>
      <w:lvlJc w:val="left"/>
      <w:pPr>
        <w:ind w:left="0" w:firstLine="420"/>
      </w:pPr>
      <w:rPr>
        <w:rFonts w:hint="eastAsia"/>
      </w:rPr>
    </w:lvl>
  </w:abstractNum>
  <w:abstractNum w:abstractNumId="13">
    <w:nsid w:val="5DD541B4"/>
    <w:multiLevelType w:val="singleLevel"/>
    <w:tmpl w:val="5DD541B4"/>
    <w:lvl w:ilvl="0" w:tentative="0">
      <w:start w:val="1"/>
      <w:numFmt w:val="decimal"/>
      <w:suff w:val="nothing"/>
      <w:lvlText w:val="%1．"/>
      <w:lvlJc w:val="left"/>
      <w:pPr>
        <w:ind w:left="0" w:leftChars="0" w:firstLine="400" w:firstLineChars="0"/>
      </w:pPr>
      <w:rPr>
        <w:rFonts w:hint="default"/>
      </w:rPr>
    </w:lvl>
  </w:abstractNum>
  <w:num w:numId="1">
    <w:abstractNumId w:val="2"/>
  </w:num>
  <w:num w:numId="2">
    <w:abstractNumId w:val="0"/>
  </w:num>
  <w:num w:numId="3">
    <w:abstractNumId w:val="1"/>
  </w:num>
  <w:num w:numId="4">
    <w:abstractNumId w:val="11"/>
  </w:num>
  <w:num w:numId="5">
    <w:abstractNumId w:val="5"/>
  </w:num>
  <w:num w:numId="6">
    <w:abstractNumId w:val="6"/>
  </w:num>
  <w:num w:numId="7">
    <w:abstractNumId w:val="4"/>
  </w:num>
  <w:num w:numId="8">
    <w:abstractNumId w:val="10"/>
  </w:num>
  <w:num w:numId="9">
    <w:abstractNumId w:val="9"/>
  </w:num>
  <w:num w:numId="10">
    <w:abstractNumId w:val="3"/>
  </w:num>
  <w:num w:numId="11">
    <w:abstractNumId w:val="12"/>
  </w:num>
  <w:num w:numId="12">
    <w:abstractNumId w:val="8"/>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4"/>
    <w:footnote w:id="15"/>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A75EF"/>
    <w:rsid w:val="00DA0B7B"/>
    <w:rsid w:val="018F2A41"/>
    <w:rsid w:val="022179FD"/>
    <w:rsid w:val="031511C4"/>
    <w:rsid w:val="03F359AA"/>
    <w:rsid w:val="0431202E"/>
    <w:rsid w:val="06DD0C77"/>
    <w:rsid w:val="07047937"/>
    <w:rsid w:val="07B60CC1"/>
    <w:rsid w:val="081D2FF5"/>
    <w:rsid w:val="08380E91"/>
    <w:rsid w:val="08D33112"/>
    <w:rsid w:val="094A5E3C"/>
    <w:rsid w:val="09A17C56"/>
    <w:rsid w:val="0B726626"/>
    <w:rsid w:val="0BD214DE"/>
    <w:rsid w:val="0C3E6914"/>
    <w:rsid w:val="0C5615D1"/>
    <w:rsid w:val="0C6B56EA"/>
    <w:rsid w:val="0D7B7844"/>
    <w:rsid w:val="0E323572"/>
    <w:rsid w:val="0E687741"/>
    <w:rsid w:val="0F446400"/>
    <w:rsid w:val="10B4026F"/>
    <w:rsid w:val="10BE10ED"/>
    <w:rsid w:val="114F7512"/>
    <w:rsid w:val="11B328D3"/>
    <w:rsid w:val="11E472C9"/>
    <w:rsid w:val="129401A2"/>
    <w:rsid w:val="13965B04"/>
    <w:rsid w:val="13FA1CB7"/>
    <w:rsid w:val="14CA46DA"/>
    <w:rsid w:val="14CA7477"/>
    <w:rsid w:val="14FA10F4"/>
    <w:rsid w:val="16DE4625"/>
    <w:rsid w:val="16E86446"/>
    <w:rsid w:val="17AA3DA0"/>
    <w:rsid w:val="19537AAF"/>
    <w:rsid w:val="19732A06"/>
    <w:rsid w:val="1A43295C"/>
    <w:rsid w:val="1A86771B"/>
    <w:rsid w:val="1B916494"/>
    <w:rsid w:val="1BB3116B"/>
    <w:rsid w:val="1BEA385C"/>
    <w:rsid w:val="1C1B5A9F"/>
    <w:rsid w:val="1D8F46DB"/>
    <w:rsid w:val="1F4C3BD8"/>
    <w:rsid w:val="1F824CFA"/>
    <w:rsid w:val="20216FA3"/>
    <w:rsid w:val="209F2DE6"/>
    <w:rsid w:val="214704E6"/>
    <w:rsid w:val="21520A2F"/>
    <w:rsid w:val="220F552B"/>
    <w:rsid w:val="23095D70"/>
    <w:rsid w:val="231B22E8"/>
    <w:rsid w:val="23830959"/>
    <w:rsid w:val="241B7A72"/>
    <w:rsid w:val="24703FBE"/>
    <w:rsid w:val="24B2466D"/>
    <w:rsid w:val="24E24F53"/>
    <w:rsid w:val="26062EC3"/>
    <w:rsid w:val="26A82355"/>
    <w:rsid w:val="26AA131C"/>
    <w:rsid w:val="274A293E"/>
    <w:rsid w:val="2A77613D"/>
    <w:rsid w:val="2AA57072"/>
    <w:rsid w:val="2BFA32CC"/>
    <w:rsid w:val="2C9254CC"/>
    <w:rsid w:val="2D983C95"/>
    <w:rsid w:val="2E73564E"/>
    <w:rsid w:val="2EEE4D4B"/>
    <w:rsid w:val="344A25C2"/>
    <w:rsid w:val="350D3C34"/>
    <w:rsid w:val="35E47068"/>
    <w:rsid w:val="362A47B3"/>
    <w:rsid w:val="363079C4"/>
    <w:rsid w:val="376F6EDF"/>
    <w:rsid w:val="38083E2E"/>
    <w:rsid w:val="38B810AA"/>
    <w:rsid w:val="39A72349"/>
    <w:rsid w:val="3A3625C3"/>
    <w:rsid w:val="3AB97283"/>
    <w:rsid w:val="3D402D06"/>
    <w:rsid w:val="3D5F3747"/>
    <w:rsid w:val="3DE65365"/>
    <w:rsid w:val="3F142042"/>
    <w:rsid w:val="3FDE633C"/>
    <w:rsid w:val="3FF537D2"/>
    <w:rsid w:val="41A26B1A"/>
    <w:rsid w:val="42054A44"/>
    <w:rsid w:val="42254FE2"/>
    <w:rsid w:val="425E412C"/>
    <w:rsid w:val="427D180C"/>
    <w:rsid w:val="428F5C81"/>
    <w:rsid w:val="42C45369"/>
    <w:rsid w:val="434417DF"/>
    <w:rsid w:val="43E556F5"/>
    <w:rsid w:val="43F242D5"/>
    <w:rsid w:val="44084391"/>
    <w:rsid w:val="45AF4F28"/>
    <w:rsid w:val="475E44B8"/>
    <w:rsid w:val="49050213"/>
    <w:rsid w:val="496E3DC0"/>
    <w:rsid w:val="4B037A44"/>
    <w:rsid w:val="4B8B3AD4"/>
    <w:rsid w:val="4C4874E2"/>
    <w:rsid w:val="4D8C33FE"/>
    <w:rsid w:val="4FD07DAB"/>
    <w:rsid w:val="50141A15"/>
    <w:rsid w:val="50D6432B"/>
    <w:rsid w:val="510612D2"/>
    <w:rsid w:val="517D6F26"/>
    <w:rsid w:val="52E64CF0"/>
    <w:rsid w:val="532C5D78"/>
    <w:rsid w:val="54A048EC"/>
    <w:rsid w:val="551B5CBC"/>
    <w:rsid w:val="552B53ED"/>
    <w:rsid w:val="55B45D08"/>
    <w:rsid w:val="55D81774"/>
    <w:rsid w:val="59EA75EF"/>
    <w:rsid w:val="5B514D7F"/>
    <w:rsid w:val="5BE72873"/>
    <w:rsid w:val="5DDB754F"/>
    <w:rsid w:val="5E74724C"/>
    <w:rsid w:val="600C0B3A"/>
    <w:rsid w:val="61D174DD"/>
    <w:rsid w:val="62854B94"/>
    <w:rsid w:val="63347473"/>
    <w:rsid w:val="63422A85"/>
    <w:rsid w:val="642C6DBE"/>
    <w:rsid w:val="649A45B3"/>
    <w:rsid w:val="65BE5529"/>
    <w:rsid w:val="660B781F"/>
    <w:rsid w:val="678D6C7B"/>
    <w:rsid w:val="681E586F"/>
    <w:rsid w:val="6AC63F3B"/>
    <w:rsid w:val="6BD050D2"/>
    <w:rsid w:val="6CDF5491"/>
    <w:rsid w:val="6CDF791C"/>
    <w:rsid w:val="6E1B52D1"/>
    <w:rsid w:val="6E283F2B"/>
    <w:rsid w:val="70310109"/>
    <w:rsid w:val="718445AA"/>
    <w:rsid w:val="71E33685"/>
    <w:rsid w:val="72EA1469"/>
    <w:rsid w:val="735E1215"/>
    <w:rsid w:val="737E16BD"/>
    <w:rsid w:val="7417615A"/>
    <w:rsid w:val="75690D8C"/>
    <w:rsid w:val="75CD61DE"/>
    <w:rsid w:val="7609571F"/>
    <w:rsid w:val="760978D1"/>
    <w:rsid w:val="76502B95"/>
    <w:rsid w:val="769F049B"/>
    <w:rsid w:val="793D2DAF"/>
    <w:rsid w:val="79492020"/>
    <w:rsid w:val="794B7979"/>
    <w:rsid w:val="797C155F"/>
    <w:rsid w:val="79B772FD"/>
    <w:rsid w:val="7A635363"/>
    <w:rsid w:val="7A7501FC"/>
    <w:rsid w:val="7BB340C8"/>
    <w:rsid w:val="7C580569"/>
    <w:rsid w:val="7D7942E8"/>
    <w:rsid w:val="7F66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50" w:beforeLines="50" w:beforeAutospacing="0" w:after="50" w:afterLines="50" w:afterAutospacing="0" w:line="240" w:lineRule="auto"/>
      <w:jc w:val="center"/>
      <w:outlineLvl w:val="0"/>
    </w:pPr>
    <w:rPr>
      <w:rFonts w:eastAsia="黑体" w:asciiTheme="minorAscii" w:hAnsiTheme="minorAscii"/>
      <w:b/>
      <w:kern w:val="44"/>
      <w:sz w:val="36"/>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numPr>
        <w:ilvl w:val="0"/>
        <w:numId w:val="1"/>
      </w:numPr>
      <w:spacing w:before="50" w:beforeLines="50" w:beforeAutospacing="0" w:after="50" w:afterLines="50" w:afterAutospacing="0" w:line="540" w:lineRule="exact"/>
      <w:ind w:firstLine="0" w:firstLineChars="0"/>
      <w:jc w:val="both"/>
      <w:outlineLvl w:val="2"/>
    </w:pPr>
    <w:rPr>
      <w:rFonts w:eastAsia="仿宋" w:asciiTheme="minorAscii" w:hAnsiTheme="minorAscii"/>
      <w:b/>
      <w:sz w:val="3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line="540" w:lineRule="exact"/>
      <w:jc w:val="center"/>
    </w:pPr>
    <w:rPr>
      <w:rFonts w:ascii="宋体" w:hAnsi="Times New Roman" w:cs="宋体"/>
      <w:b/>
      <w:bCs/>
      <w:sz w:val="44"/>
      <w:szCs w:val="44"/>
    </w:rPr>
  </w:style>
  <w:style w:type="paragraph" w:styleId="3">
    <w:name w:val="Title"/>
    <w:basedOn w:val="1"/>
    <w:next w:val="1"/>
    <w:qFormat/>
    <w:uiPriority w:val="0"/>
    <w:pPr>
      <w:spacing w:before="240" w:after="60"/>
      <w:jc w:val="center"/>
      <w:textAlignment w:val="baseline"/>
    </w:pPr>
    <w:rPr>
      <w:rFonts w:ascii="Cambria" w:hAnsi="Cambria" w:cs="Times New Roman"/>
      <w:b/>
      <w:bCs/>
      <w:sz w:val="32"/>
      <w:szCs w:val="32"/>
    </w:rPr>
  </w:style>
  <w:style w:type="paragraph" w:styleId="7">
    <w:name w:val="Body Text Indent"/>
    <w:basedOn w:val="1"/>
    <w:qFormat/>
    <w:uiPriority w:val="0"/>
    <w:pPr>
      <w:spacing w:after="100" w:afterAutospacing="1" w:line="500" w:lineRule="exact"/>
      <w:ind w:firstLine="560"/>
    </w:pPr>
    <w:rPr>
      <w:rFonts w:ascii="仿宋_GB2312" w:hAnsi="仿宋" w:eastAsia="仿宋_GB2312" w:cstheme="minorBidi"/>
      <w:sz w:val="28"/>
      <w:szCs w:val="24"/>
    </w:r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Hyperlink"/>
    <w:basedOn w:val="16"/>
    <w:qFormat/>
    <w:uiPriority w:val="0"/>
    <w:rPr>
      <w:color w:val="0000FF"/>
      <w:u w:val="single"/>
    </w:rPr>
  </w:style>
  <w:style w:type="character" w:styleId="18">
    <w:name w:val="footnote reference"/>
    <w:basedOn w:val="16"/>
    <w:qFormat/>
    <w:uiPriority w:val="0"/>
    <w:rPr>
      <w:vertAlign w:val="superscript"/>
    </w:rPr>
  </w:style>
  <w:style w:type="paragraph" w:customStyle="1" w:styleId="19">
    <w:name w:val="样式1"/>
    <w:basedOn w:val="1"/>
    <w:qFormat/>
    <w:uiPriority w:val="0"/>
    <w:pPr>
      <w:ind w:firstLine="602" w:firstLineChars="200"/>
    </w:pPr>
    <w:rPr>
      <w:rFonts w:ascii="仿宋" w:hAnsi="仿宋" w:eastAsia="仿宋"/>
      <w:sz w:val="30"/>
      <w:szCs w:val="30"/>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2021-11-05T09:16:00Z</dcterms:created>
  <dc:creator>清</dc:creator>
  <cp:lastModifiedBy>詹宇婷</cp:lastModifiedBy>
  <dcterms:modified xsi:type="dcterms:W3CDTF">2021-12-16T03:33:32Z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9F49460ACC474D6DB7CBB4B3732436B5</vt:lpwstr>
  </property>
</Properties>
</file>