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 w:cs="宋体"/>
          <w:b/>
          <w:sz w:val="72"/>
          <w:szCs w:val="72"/>
        </w:rPr>
      </w:pPr>
      <w:r>
        <w:rPr>
          <w:rFonts w:hint="eastAsia" w:ascii="宋体" w:hAnsi="宋体" w:eastAsia="宋体" w:cs="宋体"/>
          <w:b/>
          <w:sz w:val="72"/>
          <w:szCs w:val="72"/>
        </w:rPr>
        <w:t>国家市场监督管理总局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72"/>
          <w:szCs w:val="72"/>
        </w:rPr>
      </w:pPr>
      <w:r>
        <w:rPr>
          <w:rFonts w:hint="eastAsia" w:ascii="宋体" w:hAnsi="宋体" w:eastAsia="宋体" w:cs="宋体"/>
          <w:b/>
          <w:sz w:val="72"/>
          <w:szCs w:val="72"/>
        </w:rPr>
        <w:t>广告业统计系统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72"/>
          <w:szCs w:val="72"/>
        </w:rPr>
      </w:pPr>
      <w:r>
        <w:rPr>
          <w:rFonts w:hint="eastAsia" w:ascii="宋体" w:hAnsi="宋体" w:eastAsia="宋体" w:cs="宋体"/>
          <w:b/>
          <w:sz w:val="72"/>
          <w:szCs w:val="72"/>
        </w:rPr>
        <w:t>操作手册</w: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56"/>
          <w:szCs w:val="56"/>
        </w:rPr>
      </w:pPr>
      <w:r>
        <w:rPr>
          <w:rFonts w:hint="eastAsia" w:ascii="宋体" w:hAnsi="宋体" w:eastAsia="宋体" w:cs="宋体"/>
          <w:b/>
          <w:sz w:val="56"/>
          <w:szCs w:val="56"/>
        </w:rPr>
        <w:t>（填报用户）</w: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jc w:val="center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北京久其软件股份有限公司</w:t>
      </w:r>
    </w:p>
    <w:p>
      <w:pPr>
        <w:spacing w:line="360" w:lineRule="auto"/>
        <w:jc w:val="center"/>
        <w:rPr>
          <w:rFonts w:ascii="宋体" w:hAnsi="宋体" w:eastAsia="宋体" w:cs="宋体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2"/>
        </w:rPr>
        <w:t>2020年4月</w:t>
      </w:r>
    </w:p>
    <w:p>
      <w:pPr>
        <w:pStyle w:val="10"/>
        <w:spacing w:before="0" w:after="0" w:line="360" w:lineRule="auto"/>
        <w:ind w:firstLine="198"/>
        <w:jc w:val="center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目  录</w:t>
      </w:r>
    </w:p>
    <w:p/>
    <w:p>
      <w:pPr>
        <w:pStyle w:val="5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instrText xml:space="preserve"> TOC \o "1-3" \h \z \u </w:instrTex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_Toc9733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1 </w:t>
      </w:r>
      <w:r>
        <w:rPr>
          <w:rFonts w:hint="eastAsia" w:ascii="宋体" w:hAnsi="宋体" w:eastAsia="宋体"/>
          <w:sz w:val="24"/>
          <w:szCs w:val="24"/>
        </w:rPr>
        <w:t>系统简介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_Toc9733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_Toc3421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1.1 </w:t>
      </w:r>
      <w:r>
        <w:rPr>
          <w:rFonts w:hint="eastAsia" w:ascii="宋体" w:hAnsi="宋体" w:eastAsia="宋体"/>
          <w:sz w:val="24"/>
          <w:szCs w:val="24"/>
        </w:rPr>
        <w:t>系统介绍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_Toc3421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_Toc17662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1.2 </w:t>
      </w:r>
      <w:r>
        <w:rPr>
          <w:rFonts w:hint="eastAsia" w:ascii="宋体" w:hAnsi="宋体" w:eastAsia="宋体"/>
          <w:sz w:val="24"/>
          <w:szCs w:val="24"/>
        </w:rPr>
        <w:t>用户类别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_Toc17662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_Toc19982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1.3 </w:t>
      </w:r>
      <w:r>
        <w:rPr>
          <w:rFonts w:hint="eastAsia" w:ascii="宋体" w:hAnsi="宋体" w:eastAsia="宋体"/>
          <w:sz w:val="24"/>
          <w:szCs w:val="24"/>
        </w:rPr>
        <w:t>用户名密码规则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_Toc19982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5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_Toc30773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2 </w:t>
      </w:r>
      <w:r>
        <w:rPr>
          <w:rFonts w:hint="eastAsia" w:ascii="宋体" w:hAnsi="宋体" w:eastAsia="宋体"/>
          <w:sz w:val="24"/>
          <w:szCs w:val="24"/>
        </w:rPr>
        <w:t>系统登录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_Toc30773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_Toc27182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2.1 </w:t>
      </w:r>
      <w:r>
        <w:rPr>
          <w:rFonts w:hint="eastAsia" w:ascii="宋体" w:hAnsi="宋体" w:eastAsia="宋体"/>
          <w:sz w:val="24"/>
          <w:szCs w:val="24"/>
        </w:rPr>
        <w:t>登录系统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_Toc27182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_Toc16803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2.2 </w:t>
      </w:r>
      <w:r>
        <w:rPr>
          <w:rFonts w:hint="eastAsia" w:ascii="宋体" w:hAnsi="宋体" w:eastAsia="宋体"/>
          <w:sz w:val="24"/>
          <w:szCs w:val="24"/>
        </w:rPr>
        <w:t>系统首页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_Toc16803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_Toc30483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2.3 </w:t>
      </w:r>
      <w:r>
        <w:rPr>
          <w:rFonts w:hint="eastAsia" w:ascii="宋体" w:hAnsi="宋体" w:eastAsia="宋体"/>
          <w:sz w:val="24"/>
          <w:szCs w:val="24"/>
        </w:rPr>
        <w:t>修改密码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_Toc30483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6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5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_Toc6022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 </w:t>
      </w:r>
      <w:r>
        <w:rPr>
          <w:rFonts w:hint="eastAsia" w:ascii="宋体" w:hAnsi="宋体" w:eastAsia="宋体"/>
          <w:sz w:val="24"/>
          <w:szCs w:val="24"/>
        </w:rPr>
        <w:t>数据填报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_Toc6022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_Toc22359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3.1 </w:t>
      </w:r>
      <w:r>
        <w:rPr>
          <w:rFonts w:hint="eastAsia" w:ascii="宋体" w:hAnsi="宋体" w:eastAsia="宋体"/>
          <w:sz w:val="24"/>
          <w:szCs w:val="24"/>
        </w:rPr>
        <w:t>上报流程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_Toc22359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_Toc18968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3.2 </w:t>
      </w:r>
      <w:r>
        <w:rPr>
          <w:rFonts w:hint="eastAsia" w:ascii="宋体" w:hAnsi="宋体" w:eastAsia="宋体"/>
          <w:sz w:val="24"/>
          <w:szCs w:val="24"/>
        </w:rPr>
        <w:t>数据录入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_Toc18968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_Toc23083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3.3 </w:t>
      </w:r>
      <w:r>
        <w:rPr>
          <w:rFonts w:hint="eastAsia" w:ascii="宋体" w:hAnsi="宋体" w:eastAsia="宋体"/>
          <w:sz w:val="24"/>
          <w:szCs w:val="24"/>
        </w:rPr>
        <w:t>数据保存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_Toc23083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_Toc13340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3.4 </w:t>
      </w:r>
      <w:r>
        <w:rPr>
          <w:rFonts w:hint="eastAsia" w:ascii="宋体" w:hAnsi="宋体" w:eastAsia="宋体"/>
          <w:sz w:val="24"/>
          <w:szCs w:val="24"/>
        </w:rPr>
        <w:t>数据运算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_Toc13340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_Toc32314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3.5 </w:t>
      </w:r>
      <w:r>
        <w:rPr>
          <w:rFonts w:hint="eastAsia" w:ascii="宋体" w:hAnsi="宋体" w:eastAsia="宋体"/>
          <w:sz w:val="24"/>
          <w:szCs w:val="24"/>
        </w:rPr>
        <w:t>数据审核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_Toc32314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10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_Toc29890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3.6 </w:t>
      </w:r>
      <w:r>
        <w:rPr>
          <w:rFonts w:hint="eastAsia" w:ascii="宋体" w:hAnsi="宋体" w:eastAsia="宋体"/>
          <w:sz w:val="24"/>
          <w:szCs w:val="24"/>
        </w:rPr>
        <w:t>数据上报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_Toc29890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11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6"/>
        <w:tabs>
          <w:tab w:val="right" w:leader="dot" w:pos="9746"/>
        </w:tabs>
        <w:rPr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_Toc15477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/>
          <w:sz w:val="24"/>
          <w:szCs w:val="24"/>
        </w:rPr>
        <w:t xml:space="preserve">3.7 </w:t>
      </w:r>
      <w:r>
        <w:rPr>
          <w:rFonts w:hint="eastAsia" w:ascii="宋体" w:hAnsi="宋体" w:eastAsia="宋体"/>
          <w:sz w:val="24"/>
          <w:szCs w:val="24"/>
        </w:rPr>
        <w:t>数据导出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_Toc15477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13</w:t>
      </w:r>
      <w:r>
        <w:rPr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pStyle w:val="5"/>
        <w:tabs>
          <w:tab w:val="right" w:leader="dot" w:pos="8313"/>
        </w:tabs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</w:p>
    <w:p>
      <w:pPr>
        <w:widowControl/>
        <w:spacing w:line="360" w:lineRule="auto"/>
        <w:jc w:val="left"/>
        <w:rPr>
          <w:rFonts w:ascii="宋体" w:hAnsi="宋体" w:eastAsia="宋体" w:cs="宋体"/>
        </w:rPr>
      </w:pPr>
      <w:bookmarkStart w:id="0" w:name="_Toc29829"/>
      <w:r>
        <w:rPr>
          <w:rFonts w:hint="eastAsia" w:ascii="宋体" w:hAnsi="宋体" w:eastAsia="宋体" w:cs="宋体"/>
        </w:rPr>
        <w:br w:type="page"/>
      </w:r>
    </w:p>
    <w:p>
      <w:pPr>
        <w:pStyle w:val="2"/>
        <w:spacing w:line="360" w:lineRule="auto"/>
        <w:jc w:val="center"/>
        <w:rPr>
          <w:rFonts w:ascii="宋体" w:hAnsi="宋体" w:eastAsia="宋体"/>
        </w:rPr>
      </w:pPr>
      <w:bookmarkStart w:id="1" w:name="_Toc9733"/>
      <w:r>
        <w:rPr>
          <w:rFonts w:hint="eastAsia" w:ascii="宋体" w:hAnsi="宋体" w:eastAsia="宋体"/>
        </w:rPr>
        <w:t>系统简介</w:t>
      </w:r>
      <w:bookmarkEnd w:id="0"/>
      <w:bookmarkEnd w:id="1"/>
    </w:p>
    <w:p>
      <w:pPr>
        <w:pStyle w:val="3"/>
        <w:spacing w:line="360" w:lineRule="auto"/>
        <w:rPr>
          <w:rFonts w:ascii="宋体" w:hAnsi="宋体" w:eastAsia="宋体"/>
        </w:rPr>
      </w:pPr>
      <w:bookmarkStart w:id="2" w:name="_Toc3421"/>
      <w:bookmarkStart w:id="3" w:name="_Toc1347"/>
      <w:r>
        <w:rPr>
          <w:rFonts w:hint="eastAsia" w:ascii="宋体" w:hAnsi="宋体" w:eastAsia="宋体"/>
        </w:rPr>
        <w:t>系统介绍</w:t>
      </w:r>
      <w:bookmarkEnd w:id="2"/>
      <w:bookmarkEnd w:id="3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bookmarkStart w:id="4" w:name="_Toc21239"/>
      <w:r>
        <w:rPr>
          <w:rFonts w:hint="eastAsia" w:ascii="宋体" w:hAnsi="宋体" w:eastAsia="宋体" w:cs="宋体"/>
          <w:sz w:val="24"/>
          <w:szCs w:val="24"/>
        </w:rPr>
        <w:t>“国家市场监督管理总局广告业统计系统”是网络版系统，用户通过使用浏览器输入“http://ggtj.gsxt.gov.cn”登录便可以访问并使用系统。</w:t>
      </w:r>
      <w:bookmarkEnd w:id="4"/>
      <w:bookmarkStart w:id="5" w:name="_Toc25469"/>
    </w:p>
    <w:p>
      <w:pPr>
        <w:pStyle w:val="3"/>
        <w:spacing w:line="360" w:lineRule="auto"/>
        <w:rPr>
          <w:rFonts w:ascii="宋体" w:hAnsi="宋体" w:eastAsia="宋体"/>
        </w:rPr>
      </w:pPr>
      <w:bookmarkStart w:id="6" w:name="_Toc17662"/>
      <w:r>
        <w:rPr>
          <w:rFonts w:hint="eastAsia" w:ascii="宋体" w:hAnsi="宋体" w:eastAsia="宋体"/>
        </w:rPr>
        <w:t>用户类别</w:t>
      </w:r>
      <w:bookmarkEnd w:id="5"/>
      <w:bookmarkEnd w:id="6"/>
    </w:p>
    <w:p>
      <w:pPr>
        <w:spacing w:line="360" w:lineRule="auto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管理用户：</w:t>
      </w:r>
      <w:r>
        <w:rPr>
          <w:rFonts w:hint="eastAsia" w:ascii="宋体" w:hAnsi="宋体" w:eastAsia="宋体" w:cs="宋体"/>
          <w:sz w:val="24"/>
          <w:szCs w:val="24"/>
        </w:rPr>
        <w:t>国家市场监督管理总局、各省局、各地市局、各区县局、各乡镇所。</w:t>
      </w:r>
    </w:p>
    <w:p>
      <w:pPr>
        <w:spacing w:line="360" w:lineRule="auto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填报用户：</w:t>
      </w:r>
      <w:r>
        <w:rPr>
          <w:rFonts w:hint="eastAsia" w:ascii="宋体" w:hAnsi="宋体" w:eastAsia="宋体" w:cs="宋体"/>
          <w:sz w:val="24"/>
          <w:szCs w:val="24"/>
        </w:rPr>
        <w:t>纳入本次统计范围的、从事广告业相关的企业单位、事业单位。</w:t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7" w:name="_Toc6328"/>
      <w:bookmarkStart w:id="8" w:name="_Toc19982"/>
      <w:r>
        <w:rPr>
          <w:rFonts w:hint="eastAsia" w:ascii="宋体" w:hAnsi="宋体" w:eastAsia="宋体"/>
        </w:rPr>
        <w:t>用户名密码规则</w:t>
      </w:r>
      <w:bookmarkEnd w:id="7"/>
      <w:bookmarkEnd w:id="8"/>
    </w:p>
    <w:p>
      <w:pPr>
        <w:spacing w:line="360" w:lineRule="auto"/>
        <w:ind w:firstLine="48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填报用户</w:t>
      </w:r>
      <w:r>
        <w:rPr>
          <w:rFonts w:hint="eastAsia" w:ascii="宋体" w:hAnsi="宋体" w:eastAsia="宋体" w:cs="宋体"/>
          <w:sz w:val="24"/>
          <w:szCs w:val="24"/>
        </w:rPr>
        <w:t>：统一社会信</w:t>
      </w:r>
      <w:r>
        <w:rPr>
          <w:rFonts w:hint="default" w:ascii="宋体" w:hAnsi="宋体" w:eastAsia="宋体" w:cs="宋体"/>
          <w:sz w:val="24"/>
          <w:szCs w:val="24"/>
        </w:rPr>
        <w:t>用</w:t>
      </w:r>
      <w:bookmarkStart w:id="21" w:name="_GoBack"/>
      <w:bookmarkEnd w:id="21"/>
      <w:r>
        <w:rPr>
          <w:rFonts w:hint="eastAsia" w:ascii="宋体" w:hAnsi="宋体" w:eastAsia="宋体" w:cs="宋体"/>
          <w:sz w:val="24"/>
          <w:szCs w:val="24"/>
        </w:rPr>
        <w:t>代码，没有统一社会信用代码的使用工商注册号。</w:t>
      </w:r>
    </w:p>
    <w:p>
      <w:pPr>
        <w:spacing w:line="360" w:lineRule="auto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密码：</w:t>
      </w:r>
      <w:r>
        <w:rPr>
          <w:rFonts w:hint="eastAsia" w:ascii="宋体" w:hAnsi="宋体" w:eastAsia="宋体" w:cs="宋体"/>
          <w:sz w:val="24"/>
          <w:szCs w:val="24"/>
        </w:rPr>
        <w:t>初始密码同用户名一致，用户可根据需要进行修改。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2"/>
        <w:spacing w:line="360" w:lineRule="auto"/>
        <w:jc w:val="center"/>
        <w:rPr>
          <w:rFonts w:ascii="宋体" w:hAnsi="宋体" w:eastAsia="宋体"/>
        </w:rPr>
      </w:pPr>
      <w:bookmarkStart w:id="9" w:name="_Toc30773"/>
      <w:r>
        <w:rPr>
          <w:rFonts w:hint="eastAsia" w:ascii="宋体" w:hAnsi="宋体" w:eastAsia="宋体"/>
        </w:rPr>
        <w:t>系统登录</w:t>
      </w:r>
      <w:bookmarkEnd w:id="9"/>
    </w:p>
    <w:p>
      <w:pPr>
        <w:pStyle w:val="3"/>
        <w:spacing w:line="360" w:lineRule="auto"/>
        <w:rPr>
          <w:rFonts w:hint="eastAsia" w:ascii="宋体" w:hAnsi="宋体" w:eastAsia="宋体"/>
        </w:rPr>
      </w:pPr>
      <w:bookmarkStart w:id="10" w:name="_Toc27182"/>
      <w:r>
        <w:rPr>
          <w:rFonts w:hint="eastAsia" w:ascii="宋体" w:hAnsi="宋体" w:eastAsia="宋体"/>
        </w:rPr>
        <w:t>登录系统</w:t>
      </w:r>
      <w:bookmarkEnd w:id="10"/>
      <w:r>
        <w:rPr>
          <w:rFonts w:hint="eastAsia" w:ascii="宋体" w:hAnsi="宋体" w:eastAsia="宋体"/>
          <w:lang w:val="en-US" w:eastAsia="zh-CN"/>
        </w:rPr>
        <w:t xml:space="preserve"> </w:t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系统访问地址：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>http://ggtj.gsxt.gov.cn</w:t>
      </w:r>
      <w:r>
        <w:rPr>
          <w:rFonts w:hint="eastAsia" w:ascii="宋体" w:hAnsi="宋体" w:eastAsia="宋体" w:cs="宋体"/>
          <w:sz w:val="24"/>
          <w:szCs w:val="24"/>
        </w:rPr>
        <w:t>。支持IE、谷歌、360、火狐等常用浏览器。</w:t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打开浏览器，输入系统地址，即可打开登录界面。</w:t>
      </w:r>
    </w:p>
    <w:p>
      <w:pPr>
        <w:widowControl/>
        <w:tabs>
          <w:tab w:val="left" w:pos="735"/>
        </w:tabs>
        <w:spacing w:line="360" w:lineRule="auto"/>
        <w:ind w:left="425" w:firstLine="481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登录方式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（电子营业执照扫码方式）：</w:t>
      </w:r>
      <w:r>
        <w:rPr>
          <w:rFonts w:hint="eastAsia" w:ascii="宋体" w:hAnsi="宋体" w:eastAsia="宋体" w:cs="宋体"/>
          <w:sz w:val="24"/>
          <w:szCs w:val="24"/>
        </w:rPr>
        <w:t>打开微信小程序“电子营业执照”功能，点击扫一扫，扫描国家市场监督管理总局广告业统计系统登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录</w:t>
      </w:r>
      <w:r>
        <w:rPr>
          <w:rFonts w:hint="eastAsia" w:ascii="宋体" w:hAnsi="宋体" w:eastAsia="宋体" w:cs="宋体"/>
          <w:sz w:val="24"/>
          <w:szCs w:val="24"/>
        </w:rPr>
        <w:t>界面的二维码。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440940"/>
            <wp:effectExtent l="0" t="0" r="82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如果登录失败，则弹出错误提示信息，可手动输入用户名和密码，改用第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种登录方式进行登录。</w:t>
      </w:r>
    </w:p>
    <w:p>
      <w:pPr>
        <w:widowControl/>
        <w:tabs>
          <w:tab w:val="left" w:pos="735"/>
        </w:tabs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39995" cy="2440940"/>
            <wp:effectExtent l="0" t="0" r="825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ind w:left="425" w:firstLine="481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登录方式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（用户名密码方式）：</w:t>
      </w:r>
      <w:r>
        <w:rPr>
          <w:rFonts w:hint="eastAsia" w:ascii="宋体" w:hAnsi="宋体" w:eastAsia="宋体" w:cs="宋体"/>
          <w:sz w:val="24"/>
          <w:szCs w:val="24"/>
        </w:rPr>
        <w:t>访问系统登录界面，输入用户名及密码，点击“登录”，进入系统。</w:t>
      </w:r>
    </w:p>
    <w:p>
      <w:pPr>
        <w:spacing w:line="360" w:lineRule="auto"/>
        <w:jc w:val="center"/>
        <w:rPr>
          <w:rFonts w:ascii="宋体" w:hAnsi="宋体" w:eastAsia="宋体" w:cs="宋体"/>
          <w:sz w:val="32"/>
          <w:szCs w:val="24"/>
        </w:rPr>
      </w:pPr>
      <w:r>
        <w:drawing>
          <wp:inline distT="0" distB="0" distL="114300" distR="114300">
            <wp:extent cx="5039995" cy="2440940"/>
            <wp:effectExtent l="0" t="0" r="825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spacing w:line="360" w:lineRule="auto"/>
        <w:rPr>
          <w:rFonts w:ascii="宋体" w:hAnsi="宋体" w:eastAsia="宋体"/>
        </w:rPr>
      </w:pPr>
      <w:bookmarkStart w:id="11" w:name="_Toc16803"/>
      <w:r>
        <w:rPr>
          <w:rFonts w:hint="eastAsia" w:ascii="宋体" w:hAnsi="宋体" w:eastAsia="宋体"/>
        </w:rPr>
        <w:t>系统首页</w:t>
      </w:r>
      <w:bookmarkEnd w:id="11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系统首页总共分为五个模块：常用功能，通知，常见问题，下载专区，访问量统计。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1、新闻通知：</w:t>
      </w:r>
      <w:r>
        <w:rPr>
          <w:rFonts w:hint="eastAsia" w:ascii="宋体" w:hAnsi="宋体" w:eastAsia="宋体" w:cs="宋体"/>
          <w:sz w:val="24"/>
          <w:szCs w:val="24"/>
        </w:rPr>
        <w:t>用于发布广告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业</w:t>
      </w:r>
      <w:r>
        <w:rPr>
          <w:rFonts w:hint="eastAsia" w:ascii="宋体" w:hAnsi="宋体" w:eastAsia="宋体" w:cs="宋体"/>
          <w:sz w:val="24"/>
          <w:szCs w:val="24"/>
        </w:rPr>
        <w:t>统计相关的政策、制度、通知等信息；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2、常用功能：</w:t>
      </w:r>
      <w:r>
        <w:rPr>
          <w:rFonts w:hint="eastAsia" w:ascii="宋体" w:hAnsi="宋体" w:eastAsia="宋体" w:cs="宋体"/>
          <w:sz w:val="24"/>
          <w:szCs w:val="24"/>
        </w:rPr>
        <w:t>用于通过图标的快捷方式按钮直接进入到数据录入功能中；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3、下载专区：</w:t>
      </w:r>
      <w:r>
        <w:rPr>
          <w:rFonts w:hint="eastAsia" w:ascii="宋体" w:hAnsi="宋体" w:eastAsia="宋体" w:cs="宋体"/>
          <w:sz w:val="24"/>
          <w:szCs w:val="24"/>
        </w:rPr>
        <w:t>用于下载用户手册、操作视频等常用文件；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4、常见问题：</w:t>
      </w:r>
      <w:r>
        <w:rPr>
          <w:rFonts w:hint="eastAsia" w:ascii="宋体" w:hAnsi="宋体" w:eastAsia="宋体" w:cs="宋体"/>
          <w:sz w:val="24"/>
          <w:szCs w:val="24"/>
        </w:rPr>
        <w:t>用于查看系统使用遇到的常见问题解决方法；</w:t>
      </w:r>
    </w:p>
    <w:p>
      <w:pPr>
        <w:spacing w:after="156" w:line="360" w:lineRule="auto"/>
        <w:ind w:left="630" w:leftChars="300"/>
        <w:rPr>
          <w:rFonts w:ascii="宋体" w:hAnsi="宋体" w:eastAsia="宋体" w:cs="宋体"/>
          <w:sz w:val="32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5、访问量统计：</w:t>
      </w:r>
      <w:r>
        <w:rPr>
          <w:rFonts w:hint="eastAsia" w:ascii="宋体" w:hAnsi="宋体" w:eastAsia="宋体" w:cs="宋体"/>
          <w:sz w:val="24"/>
          <w:szCs w:val="24"/>
        </w:rPr>
        <w:t>用于统计系统使用用户量；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432685"/>
            <wp:effectExtent l="0" t="0" r="8255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2" w:name="_Toc30483"/>
      <w:r>
        <w:rPr>
          <w:rFonts w:hint="eastAsia" w:ascii="宋体" w:hAnsi="宋体" w:eastAsia="宋体"/>
        </w:rPr>
        <w:t>修改密码</w:t>
      </w:r>
      <w:bookmarkEnd w:id="12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为确保用户使用安全，建议在第一次登录后修改密码。密码修改格式为：最少为8位密码。</w:t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在系统界面右上方有【注销】和【修改密码】两个功能，点击【修改密码】功能，弹出【修改密码】功能对话框：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4809490" cy="4319905"/>
            <wp:effectExtent l="0" t="0" r="10160" b="444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输入“旧密码”、“新密码”然后确认密码就完成密码修改了。</w:t>
      </w:r>
    </w:p>
    <w:p>
      <w:pPr>
        <w:widowControl/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2"/>
        <w:spacing w:line="360" w:lineRule="auto"/>
        <w:jc w:val="center"/>
        <w:rPr>
          <w:rFonts w:ascii="宋体" w:hAnsi="宋体" w:eastAsia="宋体"/>
        </w:rPr>
      </w:pPr>
      <w:bookmarkStart w:id="13" w:name="_Toc6022"/>
      <w:r>
        <w:rPr>
          <w:rFonts w:hint="eastAsia" w:ascii="宋体" w:hAnsi="宋体" w:eastAsia="宋体"/>
        </w:rPr>
        <w:t>数据填报</w:t>
      </w:r>
      <w:bookmarkEnd w:id="13"/>
    </w:p>
    <w:p>
      <w:pPr>
        <w:pStyle w:val="3"/>
        <w:spacing w:line="360" w:lineRule="auto"/>
        <w:rPr>
          <w:rFonts w:ascii="宋体" w:hAnsi="宋体" w:eastAsia="宋体"/>
        </w:rPr>
      </w:pPr>
      <w:bookmarkStart w:id="14" w:name="_Toc22359"/>
      <w:r>
        <w:rPr>
          <w:rFonts w:hint="eastAsia" w:ascii="宋体" w:hAnsi="宋体" w:eastAsia="宋体"/>
        </w:rPr>
        <w:t>上报流程</w:t>
      </w:r>
      <w:bookmarkEnd w:id="14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填报用户数据填报的大致流程为系统登录、数据录入、数据保存、数据运算、数据审核、数据上报。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039995" cy="3107690"/>
            <wp:effectExtent l="0" t="0" r="8255" b="165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5" w:name="_Toc18968"/>
      <w:r>
        <w:rPr>
          <w:rFonts w:hint="eastAsia" w:ascii="宋体" w:hAnsi="宋体" w:eastAsia="宋体"/>
        </w:rPr>
        <w:t>数据录入</w:t>
      </w:r>
      <w:bookmarkEnd w:id="15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点击功能栏上的【广告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业</w:t>
      </w:r>
      <w:r>
        <w:rPr>
          <w:rFonts w:hint="eastAsia" w:ascii="宋体" w:hAnsi="宋体" w:eastAsia="宋体" w:cs="宋体"/>
          <w:sz w:val="24"/>
          <w:szCs w:val="24"/>
        </w:rPr>
        <w:t>统计年报】，或者点击首页常用功能里的数据采集，进入报表填报界面。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6" w:name="_Toc23083"/>
      <w:r>
        <w:rPr>
          <w:rFonts w:hint="eastAsia" w:ascii="宋体" w:hAnsi="宋体" w:eastAsia="宋体"/>
        </w:rPr>
        <w:t>数据保存</w:t>
      </w:r>
      <w:bookmarkEnd w:id="16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数据填写完毕后，点击工具栏上的【保存】按钮，可对填写的数据进行保存。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提示：</w:t>
      </w:r>
    </w:p>
    <w:p>
      <w:pPr>
        <w:pStyle w:val="11"/>
        <w:widowControl/>
        <w:numPr>
          <w:ilvl w:val="0"/>
          <w:numId w:val="2"/>
        </w:numPr>
        <w:tabs>
          <w:tab w:val="left" w:pos="735"/>
        </w:tabs>
        <w:spacing w:line="360" w:lineRule="auto"/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数据填写完毕后一定要点击【保存】按钮，否则数据不进行保存；</w:t>
      </w:r>
    </w:p>
    <w:p>
      <w:pPr>
        <w:pStyle w:val="11"/>
        <w:widowControl/>
        <w:numPr>
          <w:ilvl w:val="0"/>
          <w:numId w:val="2"/>
        </w:numPr>
        <w:tabs>
          <w:tab w:val="left" w:pos="735"/>
        </w:tabs>
        <w:spacing w:line="360" w:lineRule="auto"/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保存后，若数据没有进行更改，【保存】按钮置灰。</w:t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7" w:name="_Toc13340"/>
      <w:r>
        <w:rPr>
          <w:rFonts w:hint="eastAsia" w:ascii="宋体" w:hAnsi="宋体" w:eastAsia="宋体"/>
        </w:rPr>
        <w:t>数据运算</w:t>
      </w:r>
      <w:bookmarkEnd w:id="17"/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报表中绿色的单元格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无需</w:t>
      </w:r>
      <w:r>
        <w:rPr>
          <w:rFonts w:hint="eastAsia" w:ascii="宋体" w:hAnsi="宋体" w:eastAsia="宋体" w:cs="宋体"/>
          <w:sz w:val="24"/>
          <w:szCs w:val="24"/>
        </w:rPr>
        <w:t>手动填写，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由</w:t>
      </w:r>
      <w:r>
        <w:rPr>
          <w:rFonts w:hint="eastAsia" w:ascii="宋体" w:hAnsi="宋体" w:eastAsia="宋体" w:cs="宋体"/>
          <w:sz w:val="24"/>
          <w:szCs w:val="24"/>
        </w:rPr>
        <w:t>系统自动计算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结果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widowControl/>
        <w:tabs>
          <w:tab w:val="left" w:pos="735"/>
        </w:tabs>
        <w:spacing w:line="360" w:lineRule="auto"/>
        <w:ind w:left="425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填写完成一张报表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保存后，点击【运算】按钮，可将该表内的公式进行计算，也可在所有报表填写完成后点击【运算】按钮，将表间公式计算。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71" w:firstLineChars="177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统一社会信用代码为自动获取单元格，点击</w:t>
      </w:r>
      <w:r>
        <w:rPr>
          <w:rFonts w:hint="eastAsia" w:ascii="宋体" w:hAnsi="宋体" w:eastAsia="宋体" w:cs="宋体"/>
          <w:sz w:val="24"/>
          <w:szCs w:val="24"/>
        </w:rPr>
        <w:t>【运算】按钮，即可显示出登录用户的统一社会信用代码。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3"/>
        <w:spacing w:line="360" w:lineRule="auto"/>
        <w:rPr>
          <w:rFonts w:ascii="宋体" w:hAnsi="宋体" w:eastAsia="宋体"/>
        </w:rPr>
      </w:pPr>
      <w:bookmarkStart w:id="18" w:name="_Toc32314"/>
      <w:r>
        <w:rPr>
          <w:rFonts w:hint="eastAsia" w:ascii="宋体" w:hAnsi="宋体" w:eastAsia="宋体"/>
        </w:rPr>
        <w:t>数据审核</w:t>
      </w:r>
      <w:bookmarkEnd w:id="18"/>
    </w:p>
    <w:p>
      <w:pPr>
        <w:spacing w:line="360" w:lineRule="auto"/>
        <w:ind w:firstLine="424" w:firstLineChars="177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数据运算后，需要将报表的数据进行审核，点击工具栏中【审核】按钮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查看报错信息。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  <w:sz w:val="32"/>
          <w:szCs w:val="28"/>
        </w:rPr>
      </w:pPr>
      <w:r>
        <w:drawing>
          <wp:inline distT="0" distB="0" distL="114300" distR="114300">
            <wp:extent cx="5039995" cy="2325370"/>
            <wp:effectExtent l="0" t="0" r="8255" b="1778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双击公式说明，即可定位到错误的指标：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若数据无异常则提示审核通过。关于零申报的单位，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需要填写广告业市场主体年度基本情况表，可以不</w:t>
      </w:r>
      <w:r>
        <w:rPr>
          <w:rFonts w:hint="eastAsia" w:ascii="宋体" w:hAnsi="宋体" w:eastAsia="宋体" w:cs="宋体"/>
          <w:sz w:val="24"/>
          <w:szCs w:val="24"/>
        </w:rPr>
        <w:t>填写市场主体调查表，但是必须审核后填写情况说明：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双击错误说明，会弹出错误说明的提示框：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在错误说明中填写具体原因即可上报。</w:t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19" w:name="_Toc29890"/>
      <w:r>
        <w:rPr>
          <w:rFonts w:hint="eastAsia" w:ascii="宋体" w:hAnsi="宋体" w:eastAsia="宋体"/>
        </w:rPr>
        <w:t>数据上报</w:t>
      </w:r>
      <w:bookmarkEnd w:id="19"/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对于审核好的数据，需要点击工具栏中【上报】按钮：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注意：点击上报按钮系统会自动执行审核，对数据的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逻辑关系</w:t>
      </w:r>
      <w:r>
        <w:rPr>
          <w:rFonts w:hint="eastAsia" w:ascii="宋体" w:hAnsi="宋体" w:eastAsia="宋体" w:cs="宋体"/>
          <w:sz w:val="24"/>
          <w:szCs w:val="24"/>
        </w:rPr>
        <w:t>进行审核，如果不通过，则不能上报。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上报后提示上报成功对话框：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上报成功后，上报按钮置灰，数据无法修改。若要修改数据，需联系上级单位退回。</w:t>
      </w:r>
    </w:p>
    <w:p>
      <w:pPr>
        <w:pStyle w:val="3"/>
        <w:spacing w:line="360" w:lineRule="auto"/>
        <w:rPr>
          <w:rFonts w:ascii="宋体" w:hAnsi="宋体" w:eastAsia="宋体"/>
        </w:rPr>
      </w:pPr>
      <w:bookmarkStart w:id="20" w:name="_Toc15477"/>
      <w:r>
        <w:rPr>
          <w:rFonts w:hint="eastAsia" w:ascii="宋体" w:hAnsi="宋体" w:eastAsia="宋体"/>
        </w:rPr>
        <w:t>数据导出</w:t>
      </w:r>
      <w:bookmarkEnd w:id="20"/>
    </w:p>
    <w:p>
      <w:pPr>
        <w:spacing w:line="360" w:lineRule="auto"/>
        <w:ind w:firstLine="424" w:firstLineChars="1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通过数据导出功能，可以把表格导出成excel里面。</w:t>
      </w:r>
    </w:p>
    <w:p>
      <w:pPr>
        <w:spacing w:line="360" w:lineRule="auto"/>
        <w:ind w:firstLine="371" w:firstLineChars="177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039995" cy="2325370"/>
            <wp:effectExtent l="0" t="0" r="8255" b="177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7F8"/>
        <w:wordWrap w:val="0"/>
        <w:spacing w:before="0" w:beforeAutospacing="0" w:after="0" w:afterAutospacing="0" w:line="540" w:lineRule="atLeast"/>
        <w:ind w:left="0" w:right="0" w:firstLine="0"/>
        <w:jc w:val="right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7F8"/>
        <w:wordWrap/>
        <w:spacing w:before="0" w:beforeAutospacing="0" w:after="0" w:afterAutospacing="0" w:line="540" w:lineRule="atLeast"/>
        <w:ind w:left="0" w:right="0" w:firstLine="0"/>
        <w:jc w:val="right"/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8136548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15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C738EC"/>
    <w:multiLevelType w:val="multilevel"/>
    <w:tmpl w:val="50C738EC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5A8202EB"/>
    <w:multiLevelType w:val="multilevel"/>
    <w:tmpl w:val="5A8202EB"/>
    <w:lvl w:ilvl="0" w:tentative="0">
      <w:start w:val="1"/>
      <w:numFmt w:val="decimal"/>
      <w:lvlText w:val="%1."/>
      <w:lvlJc w:val="left"/>
      <w:pPr>
        <w:ind w:left="12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745" w:hanging="420"/>
      </w:pPr>
    </w:lvl>
    <w:lvl w:ilvl="2" w:tentative="0">
      <w:start w:val="1"/>
      <w:numFmt w:val="lowerRoman"/>
      <w:lvlText w:val="%3."/>
      <w:lvlJc w:val="right"/>
      <w:pPr>
        <w:ind w:left="2165" w:hanging="420"/>
      </w:pPr>
    </w:lvl>
    <w:lvl w:ilvl="3" w:tentative="0">
      <w:start w:val="1"/>
      <w:numFmt w:val="decimal"/>
      <w:lvlText w:val="%4."/>
      <w:lvlJc w:val="left"/>
      <w:pPr>
        <w:ind w:left="2585" w:hanging="420"/>
      </w:pPr>
    </w:lvl>
    <w:lvl w:ilvl="4" w:tentative="0">
      <w:start w:val="1"/>
      <w:numFmt w:val="lowerLetter"/>
      <w:lvlText w:val="%5)"/>
      <w:lvlJc w:val="left"/>
      <w:pPr>
        <w:ind w:left="3005" w:hanging="420"/>
      </w:pPr>
    </w:lvl>
    <w:lvl w:ilvl="5" w:tentative="0">
      <w:start w:val="1"/>
      <w:numFmt w:val="lowerRoman"/>
      <w:lvlText w:val="%6."/>
      <w:lvlJc w:val="right"/>
      <w:pPr>
        <w:ind w:left="3425" w:hanging="420"/>
      </w:pPr>
    </w:lvl>
    <w:lvl w:ilvl="6" w:tentative="0">
      <w:start w:val="1"/>
      <w:numFmt w:val="decimal"/>
      <w:lvlText w:val="%7."/>
      <w:lvlJc w:val="left"/>
      <w:pPr>
        <w:ind w:left="3845" w:hanging="420"/>
      </w:pPr>
    </w:lvl>
    <w:lvl w:ilvl="7" w:tentative="0">
      <w:start w:val="1"/>
      <w:numFmt w:val="lowerLetter"/>
      <w:lvlText w:val="%8)"/>
      <w:lvlJc w:val="left"/>
      <w:pPr>
        <w:ind w:left="4265" w:hanging="420"/>
      </w:pPr>
    </w:lvl>
    <w:lvl w:ilvl="8" w:tentative="0">
      <w:start w:val="1"/>
      <w:numFmt w:val="lowerRoman"/>
      <w:lvlText w:val="%9."/>
      <w:lvlJc w:val="right"/>
      <w:pPr>
        <w:ind w:left="468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8E675C"/>
    <w:rsid w:val="7C5B57E3"/>
    <w:rsid w:val="BFBCE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6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0">
    <w:name w:val="jq0目录"/>
    <w:next w:val="1"/>
    <w:qFormat/>
    <w:uiPriority w:val="0"/>
    <w:pPr>
      <w:spacing w:before="500" w:after="1000" w:line="578" w:lineRule="auto"/>
      <w:ind w:firstLine="200"/>
      <w:jc w:val="right"/>
    </w:pPr>
    <w:rPr>
      <w:rFonts w:ascii="Arial" w:hAnsi="Arial" w:eastAsia="楷体_GB2312" w:cs="Times New Roman"/>
      <w:b/>
      <w:kern w:val="2"/>
      <w:sz w:val="48"/>
      <w:szCs w:val="24"/>
      <w:lang w:val="en-US" w:eastAsia="zh-CN" w:bidi="ar-SA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2022-01-21T14:25:00Z</dcterms:created>
  <dc:creator>wangly1</dc:creator>
  <cp:lastModifiedBy>zhouwj</cp:lastModifiedBy>
  <dcterms:modified xsi:type="dcterms:W3CDTF">2024-01-10T14:36:57Z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BF4FEB6302194107B0E0DAABB2538DCA</vt:lpwstr>
  </property>
</Properties>
</file>